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A1" w:rsidRPr="00881EA1" w:rsidRDefault="00881EA1" w:rsidP="00881EA1">
      <w:pPr>
        <w:jc w:val="center"/>
        <w:rPr>
          <w:rFonts w:ascii="Verdana" w:eastAsia="Times New Roman" w:hAnsi="Verdana" w:cs="Times New Roman"/>
          <w:sz w:val="24"/>
          <w:szCs w:val="24"/>
          <w:lang w:val="ro-RO"/>
        </w:rPr>
      </w:pPr>
      <w:bookmarkStart w:id="0" w:name="_GoBack"/>
      <w:bookmarkEnd w:id="0"/>
    </w:p>
    <w:p w:rsidR="00881EA1" w:rsidRPr="00881EA1" w:rsidRDefault="00881EA1" w:rsidP="00881EA1">
      <w:pPr>
        <w:jc w:val="center"/>
        <w:rPr>
          <w:rFonts w:ascii="Verdana" w:eastAsia="Times New Roman" w:hAnsi="Verdana" w:cs="Times New Roman"/>
          <w:sz w:val="24"/>
          <w:szCs w:val="24"/>
          <w:lang w:val="ro-RO"/>
        </w:rPr>
      </w:pPr>
    </w:p>
    <w:p w:rsidR="00881EA1" w:rsidRPr="00881EA1" w:rsidRDefault="00881EA1" w:rsidP="00881EA1">
      <w:pPr>
        <w:jc w:val="center"/>
        <w:rPr>
          <w:rFonts w:ascii="Verdana" w:eastAsia="Times New Roman" w:hAnsi="Verdana" w:cs="Times New Roman"/>
          <w:sz w:val="24"/>
          <w:szCs w:val="24"/>
          <w:lang w:val="ro-RO"/>
        </w:rPr>
      </w:pPr>
    </w:p>
    <w:p w:rsidR="00881EA1" w:rsidRPr="00881EA1" w:rsidRDefault="00881EA1" w:rsidP="00881EA1">
      <w:pPr>
        <w:jc w:val="center"/>
        <w:rPr>
          <w:rFonts w:ascii="Verdana" w:eastAsia="Times New Roman" w:hAnsi="Verdana" w:cs="Times New Roman"/>
          <w:b/>
          <w:i/>
          <w:sz w:val="24"/>
          <w:szCs w:val="24"/>
          <w:lang w:val="ro-RO"/>
        </w:rPr>
      </w:pPr>
      <w:r w:rsidRPr="00881EA1">
        <w:rPr>
          <w:rFonts w:ascii="Verdana" w:eastAsia="Times New Roman" w:hAnsi="Verdana" w:cs="Times New Roman"/>
          <w:b/>
          <w:i/>
          <w:sz w:val="24"/>
          <w:szCs w:val="24"/>
          <w:lang w:val="ro-RO"/>
        </w:rPr>
        <w:t xml:space="preserve">Amicus </w:t>
      </w:r>
      <w:r w:rsidR="008071DB">
        <w:rPr>
          <w:rFonts w:ascii="Verdana" w:eastAsia="Times New Roman" w:hAnsi="Verdana" w:cs="Times New Roman"/>
          <w:b/>
          <w:i/>
          <w:sz w:val="24"/>
          <w:szCs w:val="24"/>
          <w:lang w:val="ro-RO"/>
        </w:rPr>
        <w:t>C</w:t>
      </w:r>
      <w:r w:rsidR="008071DB" w:rsidRPr="00881EA1">
        <w:rPr>
          <w:rFonts w:ascii="Verdana" w:eastAsia="Times New Roman" w:hAnsi="Verdana" w:cs="Times New Roman"/>
          <w:b/>
          <w:i/>
          <w:sz w:val="24"/>
          <w:szCs w:val="24"/>
          <w:lang w:val="ro-RO"/>
        </w:rPr>
        <w:t xml:space="preserve">uriae </w:t>
      </w:r>
    </w:p>
    <w:p w:rsidR="00881EA1" w:rsidRPr="00881EA1" w:rsidRDefault="009E79A3" w:rsidP="00881EA1">
      <w:pPr>
        <w:jc w:val="center"/>
        <w:rPr>
          <w:rFonts w:ascii="Verdana" w:eastAsia="Times New Roman" w:hAnsi="Verdana" w:cs="Times New Roman"/>
          <w:i/>
          <w:sz w:val="20"/>
          <w:szCs w:val="20"/>
          <w:lang w:val="ro-RO"/>
        </w:rPr>
      </w:pPr>
      <w:r w:rsidRPr="009E79A3">
        <w:rPr>
          <w:rFonts w:ascii="Verdana" w:eastAsia="Times New Roman" w:hAnsi="Verdana" w:cs="Times New Roman"/>
          <w:i/>
          <w:sz w:val="20"/>
          <w:szCs w:val="20"/>
          <w:lang w:val="ro-RO"/>
        </w:rPr>
        <w:t>/</w:t>
      </w:r>
      <w:r w:rsidR="00881EA1" w:rsidRPr="00881EA1">
        <w:rPr>
          <w:rFonts w:ascii="Verdana" w:eastAsia="Times New Roman" w:hAnsi="Verdana" w:cs="Times New Roman"/>
          <w:i/>
          <w:sz w:val="20"/>
          <w:szCs w:val="20"/>
          <w:lang w:val="ro-RO"/>
        </w:rPr>
        <w:t>pentru cauza aflată în procedura Consiliului pentru Prevenirea și Eliminarea Discriminării și Asigurarea Egalității pornită la plîngerea Tatianei Chiriac privind hărțuirea la locul de muncă pe criteriu de con</w:t>
      </w:r>
      <w:r w:rsidR="008071DB">
        <w:rPr>
          <w:rFonts w:ascii="Verdana" w:eastAsia="Times New Roman" w:hAnsi="Verdana" w:cs="Times New Roman"/>
          <w:i/>
          <w:sz w:val="20"/>
          <w:szCs w:val="20"/>
          <w:lang w:val="ro-RO"/>
        </w:rPr>
        <w:t>v</w:t>
      </w:r>
      <w:r w:rsidR="00881EA1" w:rsidRPr="00881EA1">
        <w:rPr>
          <w:rFonts w:ascii="Verdana" w:eastAsia="Times New Roman" w:hAnsi="Verdana" w:cs="Times New Roman"/>
          <w:i/>
          <w:sz w:val="20"/>
          <w:szCs w:val="20"/>
          <w:lang w:val="ro-RO"/>
        </w:rPr>
        <w:t>ingeri</w:t>
      </w:r>
      <w:r w:rsidRPr="009E79A3">
        <w:rPr>
          <w:rFonts w:ascii="Verdana" w:eastAsia="Times New Roman" w:hAnsi="Verdana" w:cs="Times New Roman"/>
          <w:i/>
          <w:sz w:val="20"/>
          <w:szCs w:val="20"/>
          <w:lang w:val="ro-RO"/>
        </w:rPr>
        <w:t>/</w:t>
      </w:r>
    </w:p>
    <w:p w:rsidR="00881EA1" w:rsidRPr="00881EA1" w:rsidRDefault="00881EA1" w:rsidP="00881EA1">
      <w:pPr>
        <w:jc w:val="center"/>
        <w:rPr>
          <w:rFonts w:ascii="Verdana" w:eastAsia="Times New Roman" w:hAnsi="Verdana" w:cs="Times New Roman"/>
          <w:sz w:val="24"/>
          <w:szCs w:val="24"/>
          <w:lang w:val="ro-RO"/>
        </w:rPr>
      </w:pPr>
    </w:p>
    <w:p w:rsidR="00881EA1" w:rsidRPr="00881EA1" w:rsidRDefault="00881EA1" w:rsidP="00881EA1">
      <w:pPr>
        <w:jc w:val="right"/>
        <w:rPr>
          <w:rFonts w:ascii="Verdana" w:eastAsia="Times New Roman" w:hAnsi="Verdana" w:cs="Times New Roman"/>
          <w:b/>
          <w:i/>
          <w:sz w:val="24"/>
          <w:szCs w:val="24"/>
          <w:lang w:val="ro-RO"/>
        </w:rPr>
      </w:pPr>
      <w:r w:rsidRPr="00881EA1">
        <w:rPr>
          <w:rFonts w:ascii="Verdana" w:eastAsia="Times New Roman" w:hAnsi="Verdana" w:cs="Times New Roman"/>
          <w:b/>
          <w:i/>
          <w:sz w:val="24"/>
          <w:szCs w:val="24"/>
          <w:lang w:val="ro-RO"/>
        </w:rPr>
        <w:t>Deponent:</w:t>
      </w:r>
    </w:p>
    <w:p w:rsidR="00881EA1" w:rsidRPr="00881EA1" w:rsidRDefault="00881EA1" w:rsidP="00881EA1">
      <w:pPr>
        <w:jc w:val="right"/>
        <w:rPr>
          <w:rFonts w:ascii="Verdana" w:eastAsia="Times New Roman" w:hAnsi="Verdana" w:cs="Times New Roman"/>
          <w:sz w:val="24"/>
          <w:szCs w:val="24"/>
          <w:lang w:val="ro-RO"/>
        </w:rPr>
      </w:pPr>
      <w:r w:rsidRPr="00881EA1">
        <w:rPr>
          <w:rFonts w:ascii="Verdana" w:eastAsia="Times New Roman" w:hAnsi="Verdana" w:cs="Times New Roman"/>
          <w:sz w:val="24"/>
          <w:szCs w:val="24"/>
          <w:lang w:val="ro-RO"/>
        </w:rPr>
        <w:t>Oficiul ONU pentru Drepturile Omului (OHCHR)</w:t>
      </w:r>
    </w:p>
    <w:p w:rsidR="009E79A3" w:rsidRDefault="009E79A3" w:rsidP="00881EA1">
      <w:pPr>
        <w:jc w:val="both"/>
        <w:rPr>
          <w:rFonts w:ascii="Verdana" w:eastAsia="Times New Roman" w:hAnsi="Verdana" w:cs="Times New Roman"/>
          <w:sz w:val="24"/>
          <w:szCs w:val="24"/>
          <w:lang w:val="ro-RO"/>
        </w:rPr>
      </w:pPr>
    </w:p>
    <w:p w:rsidR="00881EA1" w:rsidRPr="00881EA1" w:rsidRDefault="00881EA1" w:rsidP="00881EA1">
      <w:pPr>
        <w:jc w:val="both"/>
        <w:rPr>
          <w:rFonts w:ascii="Verdana" w:eastAsia="Times New Roman" w:hAnsi="Verdana" w:cs="Times New Roman"/>
          <w:sz w:val="24"/>
          <w:szCs w:val="24"/>
          <w:lang w:val="ro-RO"/>
        </w:rPr>
      </w:pPr>
      <w:r w:rsidRPr="00881EA1">
        <w:rPr>
          <w:rFonts w:ascii="Verdana" w:eastAsia="Times New Roman" w:hAnsi="Verdana" w:cs="Times New Roman"/>
          <w:sz w:val="24"/>
          <w:szCs w:val="24"/>
          <w:lang w:val="ro-RO"/>
        </w:rPr>
        <w:t xml:space="preserve">1. Avînd că Oficiul ONU pentru Drepturile Omului consideră asigurarea respectării dreptului la libertate convingerilor ca fiind o prioritate pentru orice societate democratică, intervenim cu prezentul </w:t>
      </w:r>
      <w:r w:rsidR="008071DB">
        <w:rPr>
          <w:rFonts w:ascii="Verdana" w:eastAsia="Times New Roman" w:hAnsi="Verdana" w:cs="Times New Roman"/>
          <w:sz w:val="24"/>
          <w:szCs w:val="24"/>
          <w:lang w:val="ro-RO"/>
        </w:rPr>
        <w:t>A</w:t>
      </w:r>
      <w:r w:rsidR="008071DB" w:rsidRPr="00881EA1">
        <w:rPr>
          <w:rFonts w:ascii="Verdana" w:eastAsia="Times New Roman" w:hAnsi="Verdana" w:cs="Times New Roman"/>
          <w:sz w:val="24"/>
          <w:szCs w:val="24"/>
          <w:lang w:val="ro-RO"/>
        </w:rPr>
        <w:t xml:space="preserve">micus </w:t>
      </w:r>
      <w:r w:rsidR="008071DB">
        <w:rPr>
          <w:rFonts w:ascii="Verdana" w:eastAsia="Times New Roman" w:hAnsi="Verdana" w:cs="Times New Roman"/>
          <w:sz w:val="24"/>
          <w:szCs w:val="24"/>
          <w:lang w:val="ro-RO"/>
        </w:rPr>
        <w:t>C</w:t>
      </w:r>
      <w:r w:rsidR="008071DB" w:rsidRPr="00881EA1">
        <w:rPr>
          <w:rFonts w:ascii="Verdana" w:eastAsia="Times New Roman" w:hAnsi="Verdana" w:cs="Times New Roman"/>
          <w:sz w:val="24"/>
          <w:szCs w:val="24"/>
          <w:lang w:val="ro-RO"/>
        </w:rPr>
        <w:t xml:space="preserve">uriae </w:t>
      </w:r>
      <w:r w:rsidRPr="00881EA1">
        <w:rPr>
          <w:rFonts w:ascii="Verdana" w:eastAsia="Times New Roman" w:hAnsi="Verdana" w:cs="Times New Roman"/>
          <w:sz w:val="24"/>
          <w:szCs w:val="24"/>
          <w:lang w:val="ro-RO"/>
        </w:rPr>
        <w:t>în sprijinul poziției expuse de petenta Chiriac Tatiana în cadrul cauzei intentate de aceasta privind hărțuirea la locul de muncă pe criteriu de convingeri.</w:t>
      </w:r>
    </w:p>
    <w:p w:rsidR="00881EA1" w:rsidRPr="00881EA1" w:rsidRDefault="00881EA1" w:rsidP="00881EA1">
      <w:pPr>
        <w:jc w:val="both"/>
        <w:rPr>
          <w:rFonts w:ascii="Verdana" w:eastAsia="Times New Roman" w:hAnsi="Verdana" w:cs="Times New Roman"/>
          <w:sz w:val="24"/>
          <w:szCs w:val="24"/>
          <w:lang w:val="ro-RO"/>
        </w:rPr>
      </w:pPr>
      <w:r w:rsidRPr="00881EA1">
        <w:rPr>
          <w:rFonts w:ascii="Verdana" w:eastAsia="Times New Roman" w:hAnsi="Verdana" w:cs="Times New Roman"/>
          <w:sz w:val="24"/>
          <w:szCs w:val="24"/>
          <w:lang w:val="ro-RO"/>
        </w:rPr>
        <w:t xml:space="preserve">2. Considerăm că hărțuirea pe criteriu de convingeri este o modalitate gravă de discriminare mai ales în condițiile sociale din Republica Moldova. Acceptarea diversității religioase continuă să fie o provocare pentru Republica Moldova. Astfel, admiterea atitudinii discriminatorii, inclusiv prin hărțuire și instigare la discriminare pe criterii religioase contribuie la perpetuarea intoleranței față de religii și convingeri netipice pentru societatea moldovenească și împiedică dezvoltarea atitudinilor sănătoase față de diversitate. </w:t>
      </w:r>
    </w:p>
    <w:p w:rsidR="00881EA1" w:rsidRPr="00881EA1" w:rsidRDefault="00881EA1" w:rsidP="00881EA1">
      <w:pPr>
        <w:jc w:val="both"/>
        <w:rPr>
          <w:rFonts w:ascii="Verdana" w:eastAsia="Times New Roman" w:hAnsi="Verdana" w:cs="Times New Roman"/>
          <w:sz w:val="24"/>
          <w:szCs w:val="24"/>
          <w:lang w:val="ro-RO"/>
        </w:rPr>
      </w:pPr>
      <w:r w:rsidRPr="00881EA1">
        <w:rPr>
          <w:rFonts w:ascii="Verdana" w:eastAsia="Times New Roman" w:hAnsi="Verdana" w:cs="Times New Roman"/>
          <w:sz w:val="24"/>
          <w:szCs w:val="24"/>
          <w:lang w:val="ro-RO"/>
        </w:rPr>
        <w:t>3. Cauza în examinare urmează a fi plasat</w:t>
      </w:r>
      <w:r w:rsidR="009E79A3">
        <w:rPr>
          <w:rFonts w:ascii="Verdana" w:eastAsia="Times New Roman" w:hAnsi="Verdana" w:cs="Times New Roman"/>
          <w:sz w:val="24"/>
          <w:szCs w:val="24"/>
          <w:lang w:val="ro-RO"/>
        </w:rPr>
        <w:t>ă</w:t>
      </w:r>
      <w:r w:rsidRPr="00881EA1">
        <w:rPr>
          <w:rFonts w:ascii="Verdana" w:eastAsia="Times New Roman" w:hAnsi="Verdana" w:cs="Times New Roman"/>
          <w:sz w:val="24"/>
          <w:szCs w:val="24"/>
          <w:lang w:val="ro-RO"/>
        </w:rPr>
        <w:t xml:space="preserve"> în contextul socio-legal în care organizațiile Falun își desfășoară activitatea.</w:t>
      </w:r>
      <w:r w:rsidR="009E79A3">
        <w:rPr>
          <w:rFonts w:ascii="Verdana" w:eastAsia="Times New Roman" w:hAnsi="Verdana" w:cs="Times New Roman"/>
          <w:sz w:val="24"/>
          <w:szCs w:val="24"/>
          <w:lang w:val="ro-RO"/>
        </w:rPr>
        <w:t xml:space="preserve"> </w:t>
      </w:r>
      <w:r w:rsidRPr="00881EA1">
        <w:rPr>
          <w:rFonts w:ascii="Verdana" w:eastAsia="Times New Roman" w:hAnsi="Verdana" w:cs="Times New Roman"/>
          <w:sz w:val="24"/>
          <w:szCs w:val="24"/>
          <w:lang w:val="ro-RO"/>
        </w:rPr>
        <w:t>Astfel organizațiile internaționale, inclusiv Oficiul ONU pentru Drepturile Omului cu îngrijorare au recepționat informațiile privind lichidarea organizațiilor Falun Dafa în anul 2015</w:t>
      </w:r>
      <w:r w:rsidR="008071DB">
        <w:rPr>
          <w:rFonts w:ascii="Verdana" w:eastAsia="Times New Roman" w:hAnsi="Verdana" w:cs="Times New Roman"/>
          <w:sz w:val="24"/>
          <w:szCs w:val="24"/>
          <w:lang w:val="ro-RO"/>
        </w:rPr>
        <w:t>,</w:t>
      </w:r>
      <w:r w:rsidRPr="00881EA1">
        <w:rPr>
          <w:rFonts w:ascii="Verdana" w:eastAsia="Times New Roman" w:hAnsi="Verdana" w:cs="Times New Roman"/>
          <w:sz w:val="24"/>
          <w:szCs w:val="24"/>
          <w:lang w:val="ro-RO"/>
        </w:rPr>
        <w:t xml:space="preserve"> iar pretinsa hărțuire a președintei organizațiilor la locul de muncă </w:t>
      </w:r>
      <w:r w:rsidRPr="00881EA1">
        <w:rPr>
          <w:rFonts w:ascii="Verdana" w:eastAsia="Times New Roman" w:hAnsi="Verdana" w:cs="Times New Roman"/>
          <w:sz w:val="24"/>
          <w:szCs w:val="24"/>
          <w:lang w:val="ro-RO"/>
        </w:rPr>
        <w:lastRenderedPageBreak/>
        <w:t>intervine într-un context ambiguu din perspectiva respectării dreptului la libertatea de convingeri a discipolilor Falun.</w:t>
      </w:r>
    </w:p>
    <w:p w:rsidR="00881EA1" w:rsidRPr="00881EA1" w:rsidRDefault="00881EA1" w:rsidP="00881EA1">
      <w:pPr>
        <w:jc w:val="both"/>
        <w:rPr>
          <w:rFonts w:ascii="Verdana" w:eastAsia="Times New Roman" w:hAnsi="Verdana" w:cs="Times New Roman"/>
          <w:sz w:val="24"/>
          <w:szCs w:val="24"/>
          <w:lang w:val="ro-RO"/>
        </w:rPr>
      </w:pPr>
      <w:r w:rsidRPr="00881EA1">
        <w:rPr>
          <w:rFonts w:ascii="Verdana" w:eastAsia="Times New Roman" w:hAnsi="Verdana" w:cs="Times New Roman"/>
          <w:sz w:val="24"/>
          <w:szCs w:val="24"/>
          <w:lang w:val="ro-RO"/>
        </w:rPr>
        <w:t xml:space="preserve">4. Relevăm faptul că libertatea de convingeri incumbă două aspecte </w:t>
      </w:r>
      <w:r w:rsidRPr="00881EA1">
        <w:rPr>
          <w:rFonts w:ascii="Verdana" w:eastAsia="Times New Roman" w:hAnsi="Verdana" w:cs="Times New Roman"/>
          <w:i/>
          <w:sz w:val="24"/>
          <w:szCs w:val="24"/>
          <w:lang w:val="ro-RO"/>
        </w:rPr>
        <w:t>forum internum și forum externum.</w:t>
      </w:r>
      <w:r w:rsidRPr="00881EA1">
        <w:rPr>
          <w:rFonts w:ascii="Verdana" w:eastAsia="Times New Roman" w:hAnsi="Verdana" w:cs="Times New Roman"/>
          <w:sz w:val="24"/>
          <w:szCs w:val="24"/>
          <w:lang w:val="ro-RO"/>
        </w:rPr>
        <w:t xml:space="preserve"> Articolul 18 (1) al Pactului Internațional pentru Drepturi Civile și Politice prescrie că oricine are dreptul la libertatea de conștiință, gîndire și religie. Acest drept include libertatea de a-și manifesta credința sau convingerile individual sau în comun cu alții, în mod public sau în privat prin rugăciuni, asistare la servicii religioase, practici și învățături. Articolul 18 (3) al aceluiași Pact stabilește condițiile în care libertatea de manifestare a convingerilor poate fi restricționată. Astfel, dreptul de a a-și exprima convingerile poate fi limitat doar în condițiile prescrise de lege, necesare pentru asigurarea securității publice, ordinii, sănătății, moralei sau drepturilor fundamentale a</w:t>
      </w:r>
      <w:r w:rsidR="008071DB">
        <w:rPr>
          <w:rFonts w:ascii="Verdana" w:eastAsia="Times New Roman" w:hAnsi="Verdana" w:cs="Times New Roman"/>
          <w:sz w:val="24"/>
          <w:szCs w:val="24"/>
          <w:lang w:val="ro-RO"/>
        </w:rPr>
        <w:t>le</w:t>
      </w:r>
      <w:r w:rsidRPr="00881EA1">
        <w:rPr>
          <w:rFonts w:ascii="Verdana" w:eastAsia="Times New Roman" w:hAnsi="Verdana" w:cs="Times New Roman"/>
          <w:sz w:val="24"/>
          <w:szCs w:val="24"/>
          <w:lang w:val="ro-RO"/>
        </w:rPr>
        <w:t xml:space="preserve"> altor persoane. Din această perspectivă, orice limitare în exercitarea dreptului la libertatea de religie, care nu se încadrează în cadrul condițional expus mai sus ar constitui o violare a acestui drept. </w:t>
      </w:r>
    </w:p>
    <w:p w:rsidR="00881EA1" w:rsidRPr="00881EA1" w:rsidRDefault="00881EA1" w:rsidP="00881EA1">
      <w:pPr>
        <w:jc w:val="both"/>
        <w:rPr>
          <w:rFonts w:ascii="Verdana" w:eastAsia="Times New Roman" w:hAnsi="Verdana" w:cs="Times New Roman"/>
          <w:sz w:val="24"/>
          <w:szCs w:val="24"/>
          <w:lang w:val="ro-RO"/>
        </w:rPr>
      </w:pPr>
      <w:r w:rsidRPr="00881EA1">
        <w:rPr>
          <w:rFonts w:ascii="Verdana" w:eastAsia="Times New Roman" w:hAnsi="Verdana" w:cs="Times New Roman"/>
          <w:sz w:val="24"/>
          <w:szCs w:val="24"/>
          <w:lang w:val="ro-RO"/>
        </w:rPr>
        <w:t>5. Prevederi similare privind libertatea religioasă și de convingeri se conțin în Declarația Adunării General ONU din 1981 privind eliminarea tuturor  formelor de intoleran</w:t>
      </w:r>
      <w:r w:rsidR="008071DB">
        <w:rPr>
          <w:rFonts w:ascii="Verdana" w:eastAsia="Times New Roman" w:hAnsi="Verdana" w:cs="Times New Roman"/>
          <w:sz w:val="24"/>
          <w:szCs w:val="24"/>
          <w:lang w:val="ro-RO"/>
        </w:rPr>
        <w:t>ță</w:t>
      </w:r>
      <w:r w:rsidRPr="00881EA1">
        <w:rPr>
          <w:rFonts w:ascii="Verdana" w:eastAsia="Times New Roman" w:hAnsi="Verdana" w:cs="Times New Roman"/>
          <w:sz w:val="24"/>
          <w:szCs w:val="24"/>
          <w:lang w:val="ro-RO"/>
        </w:rPr>
        <w:t xml:space="preserve"> și discriminarea bazată pe religie și credință. </w:t>
      </w:r>
    </w:p>
    <w:p w:rsidR="00881EA1" w:rsidRPr="00881EA1" w:rsidRDefault="00881EA1" w:rsidP="00881EA1">
      <w:pPr>
        <w:jc w:val="both"/>
        <w:rPr>
          <w:rFonts w:ascii="Verdana" w:eastAsia="Times New Roman" w:hAnsi="Verdana" w:cs="Times New Roman"/>
          <w:sz w:val="24"/>
          <w:szCs w:val="24"/>
          <w:lang w:val="ro-RO"/>
        </w:rPr>
      </w:pPr>
      <w:r w:rsidRPr="00881EA1">
        <w:rPr>
          <w:rFonts w:ascii="Verdana" w:eastAsia="Times New Roman" w:hAnsi="Verdana" w:cs="Times New Roman"/>
          <w:sz w:val="24"/>
          <w:szCs w:val="24"/>
          <w:lang w:val="ro-RO"/>
        </w:rPr>
        <w:t xml:space="preserve">6. Comentariul General 22 al Comitetului </w:t>
      </w:r>
      <w:r w:rsidR="008071DB">
        <w:rPr>
          <w:rFonts w:ascii="Verdana" w:eastAsia="Times New Roman" w:hAnsi="Verdana" w:cs="Times New Roman"/>
          <w:sz w:val="24"/>
          <w:szCs w:val="24"/>
          <w:lang w:val="ro-RO"/>
        </w:rPr>
        <w:t xml:space="preserve">ONU </w:t>
      </w:r>
      <w:r w:rsidRPr="00881EA1">
        <w:rPr>
          <w:rFonts w:ascii="Verdana" w:eastAsia="Times New Roman" w:hAnsi="Verdana" w:cs="Times New Roman"/>
          <w:sz w:val="24"/>
          <w:szCs w:val="24"/>
          <w:lang w:val="ro-RO"/>
        </w:rPr>
        <w:t>pentru Drepturile Omului la paragraful 4 stabilește că libertatea de a-și manifesta religia sau credința prin închinare, ritualuri, practici și învățătură cuprinde un spectru larg de posibile acte. Conceptul de închinare se extinde asupra ritualurilor și ceremoniilor care constituie o expresie directă a credinței sau convingerilor, dar si diferite practici asimilate unor astfel de acte cum ar fi construirea locurilor de închinăciune, utilizarea formulelor de ritual, obiectelor de ritual, afișarea de simboluri</w:t>
      </w:r>
      <w:r w:rsidR="008071DB">
        <w:rPr>
          <w:rFonts w:ascii="Verdana" w:eastAsia="Times New Roman" w:hAnsi="Verdana" w:cs="Times New Roman"/>
          <w:sz w:val="24"/>
          <w:szCs w:val="24"/>
          <w:lang w:val="ro-RO"/>
        </w:rPr>
        <w:t>,</w:t>
      </w:r>
      <w:r w:rsidRPr="00881EA1">
        <w:rPr>
          <w:rFonts w:ascii="Verdana" w:eastAsia="Times New Roman" w:hAnsi="Verdana" w:cs="Times New Roman"/>
          <w:sz w:val="24"/>
          <w:szCs w:val="24"/>
          <w:lang w:val="ro-RO"/>
        </w:rPr>
        <w:t xml:space="preserve"> cît și respectarea de sărbători și zile de odihnă</w:t>
      </w:r>
      <w:r w:rsidR="008071DB">
        <w:rPr>
          <w:rFonts w:ascii="Verdana" w:eastAsia="Times New Roman" w:hAnsi="Verdana" w:cs="Times New Roman"/>
          <w:sz w:val="24"/>
          <w:szCs w:val="24"/>
          <w:lang w:val="ro-RO"/>
        </w:rPr>
        <w:t xml:space="preserve"> specifice cultului religios respectiv</w:t>
      </w:r>
      <w:r w:rsidRPr="00881EA1">
        <w:rPr>
          <w:rFonts w:ascii="Verdana" w:eastAsia="Times New Roman" w:hAnsi="Verdana" w:cs="Times New Roman"/>
          <w:sz w:val="24"/>
          <w:szCs w:val="24"/>
          <w:lang w:val="ro-RO"/>
        </w:rPr>
        <w:t xml:space="preserve">. </w:t>
      </w:r>
    </w:p>
    <w:p w:rsidR="00881EA1" w:rsidRPr="00881EA1" w:rsidRDefault="00881EA1" w:rsidP="00881EA1">
      <w:pPr>
        <w:jc w:val="both"/>
        <w:rPr>
          <w:rFonts w:ascii="Verdana" w:eastAsia="Times New Roman" w:hAnsi="Verdana" w:cs="Times New Roman"/>
          <w:sz w:val="24"/>
          <w:szCs w:val="24"/>
          <w:lang w:val="ro-RO"/>
        </w:rPr>
      </w:pPr>
      <w:r w:rsidRPr="00881EA1">
        <w:rPr>
          <w:rFonts w:ascii="Verdana" w:eastAsia="Times New Roman" w:hAnsi="Verdana" w:cs="Times New Roman"/>
          <w:sz w:val="24"/>
          <w:szCs w:val="24"/>
          <w:lang w:val="ro-RO"/>
        </w:rPr>
        <w:t>7. La nivel european libertatea de religie este protejată de articolul 9 al Conventiei Europene pentru apărarea drepturilor și libertăților fundamentale</w:t>
      </w:r>
      <w:r w:rsidR="008071DB">
        <w:rPr>
          <w:rFonts w:ascii="Verdana" w:eastAsia="Times New Roman" w:hAnsi="Verdana" w:cs="Times New Roman"/>
          <w:sz w:val="24"/>
          <w:szCs w:val="24"/>
          <w:lang w:val="ro-RO"/>
        </w:rPr>
        <w:t>,</w:t>
      </w:r>
      <w:r w:rsidRPr="00881EA1">
        <w:rPr>
          <w:rFonts w:ascii="Verdana" w:eastAsia="Times New Roman" w:hAnsi="Verdana" w:cs="Times New Roman"/>
          <w:sz w:val="24"/>
          <w:szCs w:val="24"/>
          <w:lang w:val="ro-RO"/>
        </w:rPr>
        <w:t xml:space="preserve"> cît și de practica relevantă a Curții Europene pentru drepturile omului. În cazul </w:t>
      </w:r>
      <w:proofErr w:type="spellStart"/>
      <w:r w:rsidRPr="00F24CA9">
        <w:rPr>
          <w:rFonts w:ascii="Verdana" w:eastAsia="Times New Roman" w:hAnsi="Verdana" w:cs="Times New Roman"/>
          <w:i/>
          <w:sz w:val="24"/>
          <w:szCs w:val="24"/>
          <w:lang w:val="en-US"/>
        </w:rPr>
        <w:t>Eweida</w:t>
      </w:r>
      <w:proofErr w:type="spellEnd"/>
      <w:r w:rsidRPr="00F24CA9">
        <w:rPr>
          <w:rFonts w:ascii="Verdana" w:eastAsia="Times New Roman" w:hAnsi="Verdana" w:cs="Times New Roman"/>
          <w:i/>
          <w:sz w:val="24"/>
          <w:szCs w:val="24"/>
          <w:lang w:val="en-US"/>
        </w:rPr>
        <w:t xml:space="preserve"> and </w:t>
      </w:r>
      <w:proofErr w:type="spellStart"/>
      <w:r w:rsidRPr="00F24CA9">
        <w:rPr>
          <w:rFonts w:ascii="Verdana" w:eastAsia="Times New Roman" w:hAnsi="Verdana" w:cs="Times New Roman"/>
          <w:i/>
          <w:sz w:val="24"/>
          <w:szCs w:val="24"/>
          <w:lang w:val="en-US"/>
        </w:rPr>
        <w:t>și</w:t>
      </w:r>
      <w:proofErr w:type="spellEnd"/>
      <w:r w:rsidRPr="00F24CA9">
        <w:rPr>
          <w:rFonts w:ascii="Verdana" w:eastAsia="Times New Roman" w:hAnsi="Verdana" w:cs="Times New Roman"/>
          <w:i/>
          <w:sz w:val="24"/>
          <w:szCs w:val="24"/>
          <w:lang w:val="en-US"/>
        </w:rPr>
        <w:t xml:space="preserve"> </w:t>
      </w:r>
      <w:proofErr w:type="spellStart"/>
      <w:r w:rsidRPr="00F24CA9">
        <w:rPr>
          <w:rFonts w:ascii="Verdana" w:eastAsia="Times New Roman" w:hAnsi="Verdana" w:cs="Times New Roman"/>
          <w:i/>
          <w:sz w:val="24"/>
          <w:szCs w:val="24"/>
          <w:lang w:val="en-US"/>
        </w:rPr>
        <w:t>alții</w:t>
      </w:r>
      <w:proofErr w:type="spellEnd"/>
      <w:r w:rsidRPr="00F24CA9">
        <w:rPr>
          <w:rFonts w:ascii="Verdana" w:eastAsia="Times New Roman" w:hAnsi="Verdana" w:cs="Times New Roman"/>
          <w:i/>
          <w:sz w:val="24"/>
          <w:szCs w:val="24"/>
          <w:lang w:val="en-US"/>
        </w:rPr>
        <w:t xml:space="preserve"> v. </w:t>
      </w:r>
      <w:proofErr w:type="spellStart"/>
      <w:r w:rsidRPr="00F24CA9">
        <w:rPr>
          <w:rFonts w:ascii="Verdana" w:eastAsia="Times New Roman" w:hAnsi="Verdana" w:cs="Times New Roman"/>
          <w:i/>
          <w:sz w:val="24"/>
          <w:szCs w:val="24"/>
          <w:lang w:val="en-US"/>
        </w:rPr>
        <w:t>Marea</w:t>
      </w:r>
      <w:proofErr w:type="spellEnd"/>
      <w:r w:rsidRPr="00F24CA9">
        <w:rPr>
          <w:rFonts w:ascii="Verdana" w:eastAsia="Times New Roman" w:hAnsi="Verdana" w:cs="Times New Roman"/>
          <w:i/>
          <w:sz w:val="24"/>
          <w:szCs w:val="24"/>
          <w:lang w:val="en-US"/>
        </w:rPr>
        <w:t xml:space="preserve"> Britanie</w:t>
      </w:r>
      <w:r w:rsidRPr="00881EA1">
        <w:rPr>
          <w:rFonts w:ascii="Verdana" w:eastAsia="Times New Roman" w:hAnsi="Verdana" w:cs="Times New Roman"/>
          <w:sz w:val="24"/>
          <w:szCs w:val="24"/>
          <w:lang w:val="en-US"/>
        </w:rPr>
        <w:t>, no. 48420/10, CEDO 2013,</w:t>
      </w:r>
      <w:r w:rsidRPr="00881EA1">
        <w:rPr>
          <w:rFonts w:ascii="Verdana" w:eastAsia="Times New Roman" w:hAnsi="Verdana" w:cs="Times New Roman"/>
          <w:sz w:val="24"/>
          <w:szCs w:val="24"/>
          <w:lang w:val="ro-RO"/>
        </w:rPr>
        <w:t xml:space="preserve"> Curtea a reiterat unele aspecte legate de exteriorizarea credinței și limitele acesteia. </w:t>
      </w:r>
    </w:p>
    <w:p w:rsidR="00881EA1" w:rsidRPr="00881EA1" w:rsidRDefault="00881EA1" w:rsidP="00881EA1">
      <w:pPr>
        <w:jc w:val="both"/>
        <w:rPr>
          <w:rFonts w:ascii="Verdana" w:eastAsia="Times New Roman" w:hAnsi="Verdana" w:cs="Times New Roman"/>
          <w:sz w:val="24"/>
          <w:szCs w:val="24"/>
          <w:lang w:val="ro-RO"/>
        </w:rPr>
      </w:pPr>
      <w:r w:rsidRPr="00881EA1">
        <w:rPr>
          <w:rFonts w:ascii="Verdana" w:eastAsia="Times New Roman" w:hAnsi="Verdana" w:cs="Times New Roman"/>
          <w:sz w:val="24"/>
          <w:szCs w:val="24"/>
          <w:lang w:val="ro-RO"/>
        </w:rPr>
        <w:lastRenderedPageBreak/>
        <w:t xml:space="preserve">8. Astfel, Curtea a elucidat că chiar și în cazul în care manifestarea credinței atinge un nivel înalt de credibilitate și importanță, nu întotdeauna actele de exteriorizare a credinței se încadrează în ceea ce presupune forumul extern al libertății religioase sau de credință. Spre exemplu, acte de omisiune, care nu </w:t>
      </w:r>
      <w:r w:rsidR="008071DB" w:rsidRPr="00881EA1">
        <w:rPr>
          <w:rFonts w:ascii="Verdana" w:eastAsia="Times New Roman" w:hAnsi="Verdana" w:cs="Times New Roman"/>
          <w:sz w:val="24"/>
          <w:szCs w:val="24"/>
          <w:lang w:val="ro-RO"/>
        </w:rPr>
        <w:t>reprezint</w:t>
      </w:r>
      <w:r w:rsidR="008071DB">
        <w:rPr>
          <w:rFonts w:ascii="Verdana" w:eastAsia="Times New Roman" w:hAnsi="Verdana" w:cs="Times New Roman"/>
          <w:sz w:val="24"/>
          <w:szCs w:val="24"/>
          <w:lang w:val="ro-RO"/>
        </w:rPr>
        <w:t>ă</w:t>
      </w:r>
      <w:r w:rsidR="008071DB" w:rsidRPr="00881EA1">
        <w:rPr>
          <w:rFonts w:ascii="Verdana" w:eastAsia="Times New Roman" w:hAnsi="Verdana" w:cs="Times New Roman"/>
          <w:sz w:val="24"/>
          <w:szCs w:val="24"/>
          <w:lang w:val="ro-RO"/>
        </w:rPr>
        <w:t xml:space="preserve"> </w:t>
      </w:r>
      <w:r w:rsidRPr="00881EA1">
        <w:rPr>
          <w:rFonts w:ascii="Verdana" w:eastAsia="Times New Roman" w:hAnsi="Verdana" w:cs="Times New Roman"/>
          <w:sz w:val="24"/>
          <w:szCs w:val="24"/>
          <w:lang w:val="ro-RO"/>
        </w:rPr>
        <w:t xml:space="preserve">o expresie directă a unei credințe sau nu sînt emanația directă a unei credințe nu sînt protejate de articolul 9 al Convenției (vezi și Skugar și alții v. Russia (dec.), no. 40010/04, 3 decembrie 2009 sau Arrowsmith v. Marea Britanie, raportul Comisiei din 12 octombrie 1978. Pentru a fi considerată o manifestare a religiei în limitele articolul 9 acțiunea urmează să fie iminent legată de credință sau religie. </w:t>
      </w:r>
    </w:p>
    <w:p w:rsidR="00881EA1" w:rsidRPr="00881EA1" w:rsidRDefault="00881EA1" w:rsidP="00881EA1">
      <w:pPr>
        <w:jc w:val="both"/>
        <w:rPr>
          <w:rFonts w:ascii="Verdana" w:eastAsia="Times New Roman" w:hAnsi="Verdana" w:cs="Times New Roman"/>
          <w:sz w:val="24"/>
          <w:szCs w:val="24"/>
          <w:lang w:val="ro-RO"/>
        </w:rPr>
      </w:pPr>
      <w:r w:rsidRPr="00881EA1">
        <w:rPr>
          <w:rFonts w:ascii="Verdana" w:eastAsia="Times New Roman" w:hAnsi="Verdana" w:cs="Times New Roman"/>
          <w:sz w:val="24"/>
          <w:szCs w:val="24"/>
          <w:lang w:val="ro-RO"/>
        </w:rPr>
        <w:t>9. În cazul în speță, petenta pretinde că a fost hărțuită din cauza convingerilor sale, pe care le-a exprimat într-o serie de pichetări a CSM, CSJ, Curtea de Apel Chișinău</w:t>
      </w:r>
      <w:r w:rsidR="008071DB">
        <w:rPr>
          <w:rFonts w:ascii="Verdana" w:eastAsia="Times New Roman" w:hAnsi="Verdana" w:cs="Times New Roman"/>
          <w:sz w:val="24"/>
          <w:szCs w:val="24"/>
          <w:lang w:val="ro-RO"/>
        </w:rPr>
        <w:t>,</w:t>
      </w:r>
      <w:r w:rsidRPr="00881EA1">
        <w:rPr>
          <w:rFonts w:ascii="Verdana" w:eastAsia="Times New Roman" w:hAnsi="Verdana" w:cs="Times New Roman"/>
          <w:sz w:val="24"/>
          <w:szCs w:val="24"/>
          <w:lang w:val="ro-RO"/>
        </w:rPr>
        <w:t xml:space="preserve"> cît și alte acțiuni publice prin care condamna acțiunile ilegale întreprinse în privința discipolilor Falin Gong din China. </w:t>
      </w:r>
    </w:p>
    <w:p w:rsidR="00881EA1" w:rsidRPr="00881EA1" w:rsidRDefault="00881EA1" w:rsidP="00881EA1">
      <w:pPr>
        <w:jc w:val="both"/>
        <w:rPr>
          <w:rFonts w:ascii="Verdana" w:eastAsia="Times New Roman" w:hAnsi="Verdana" w:cs="Times New Roman"/>
          <w:sz w:val="24"/>
          <w:szCs w:val="24"/>
          <w:lang w:val="ro-RO"/>
        </w:rPr>
      </w:pPr>
      <w:r w:rsidRPr="00881EA1">
        <w:rPr>
          <w:rFonts w:ascii="Verdana" w:eastAsia="Times New Roman" w:hAnsi="Verdana" w:cs="Times New Roman"/>
          <w:sz w:val="24"/>
          <w:szCs w:val="24"/>
          <w:lang w:val="ro-RO"/>
        </w:rPr>
        <w:t>10. Condamnarea persecuțiilor discipolilor Falun Gong din China constituie una dintre tezele de bază ale curentului Falun Dafa</w:t>
      </w:r>
      <w:r w:rsidR="008071DB">
        <w:rPr>
          <w:rFonts w:ascii="Verdana" w:eastAsia="Times New Roman" w:hAnsi="Verdana" w:cs="Times New Roman"/>
          <w:sz w:val="24"/>
          <w:szCs w:val="24"/>
          <w:lang w:val="ro-RO"/>
        </w:rPr>
        <w:t>,</w:t>
      </w:r>
      <w:r w:rsidRPr="00881EA1">
        <w:rPr>
          <w:rFonts w:ascii="Verdana" w:eastAsia="Times New Roman" w:hAnsi="Verdana" w:cs="Times New Roman"/>
          <w:sz w:val="24"/>
          <w:szCs w:val="24"/>
          <w:lang w:val="ro-RO"/>
        </w:rPr>
        <w:t xml:space="preserve"> iar organizarea protestelor, pichetărilor și altor evenimente publice este una dintre expresiile convingerilor discipolilor Falun. </w:t>
      </w:r>
    </w:p>
    <w:p w:rsidR="00881EA1" w:rsidRPr="00881EA1" w:rsidRDefault="00881EA1" w:rsidP="00881EA1">
      <w:pPr>
        <w:jc w:val="both"/>
        <w:rPr>
          <w:rFonts w:ascii="Verdana" w:eastAsia="Times New Roman" w:hAnsi="Verdana" w:cs="Times New Roman"/>
          <w:sz w:val="24"/>
          <w:szCs w:val="24"/>
          <w:lang w:val="ro-RO"/>
        </w:rPr>
      </w:pPr>
      <w:r w:rsidRPr="00881EA1">
        <w:rPr>
          <w:rFonts w:ascii="Verdana" w:eastAsia="Times New Roman" w:hAnsi="Verdana" w:cs="Times New Roman"/>
          <w:sz w:val="24"/>
          <w:szCs w:val="24"/>
          <w:lang w:val="ro-RO"/>
        </w:rPr>
        <w:t xml:space="preserve">11. Hărțuirea pe criteriu de convingeri și religie, indirect constituie o limitare a expresiei respectivelor convingeri și respectiv contribuie la limitarea dreptului la libertatea de convingeri. </w:t>
      </w:r>
      <w:r w:rsidR="008071DB">
        <w:rPr>
          <w:rFonts w:ascii="Verdana" w:eastAsia="Times New Roman" w:hAnsi="Verdana" w:cs="Times New Roman"/>
          <w:sz w:val="24"/>
          <w:szCs w:val="24"/>
          <w:lang w:val="ro-RO"/>
        </w:rPr>
        <w:t xml:space="preserve">Probele prezentate de petenta relevă mai multe epizoade </w:t>
      </w:r>
      <w:r w:rsidR="008E1E7E">
        <w:rPr>
          <w:rFonts w:ascii="Verdana" w:eastAsia="Times New Roman" w:hAnsi="Verdana" w:cs="Times New Roman"/>
          <w:sz w:val="24"/>
          <w:szCs w:val="24"/>
          <w:lang w:val="ro-RO"/>
        </w:rPr>
        <w:t>care luate împreună constituie hărțuire</w:t>
      </w:r>
      <w:r w:rsidRPr="00881EA1">
        <w:rPr>
          <w:rFonts w:ascii="Verdana" w:eastAsia="Times New Roman" w:hAnsi="Verdana" w:cs="Times New Roman"/>
          <w:sz w:val="24"/>
          <w:szCs w:val="24"/>
          <w:lang w:val="ro-RO"/>
        </w:rPr>
        <w:t xml:space="preserve">.  </w:t>
      </w:r>
    </w:p>
    <w:p w:rsidR="00881EA1" w:rsidRPr="00881EA1" w:rsidRDefault="00881EA1" w:rsidP="00881EA1">
      <w:pPr>
        <w:jc w:val="both"/>
        <w:rPr>
          <w:rFonts w:ascii="Verdana" w:eastAsia="Times New Roman" w:hAnsi="Verdana" w:cs="Times New Roman"/>
          <w:sz w:val="24"/>
          <w:szCs w:val="24"/>
          <w:lang w:val="ro-RO"/>
        </w:rPr>
      </w:pPr>
      <w:r w:rsidRPr="00881EA1">
        <w:rPr>
          <w:rFonts w:ascii="Verdana" w:eastAsia="Times New Roman" w:hAnsi="Verdana" w:cs="Times New Roman"/>
          <w:sz w:val="24"/>
          <w:szCs w:val="24"/>
          <w:lang w:val="ro-RO"/>
        </w:rPr>
        <w:t>12. Faptul că Președința instanței de judecată și-a permis să o îndemne pe petentă de a merge să lucreze la Falun Dafa</w:t>
      </w:r>
      <w:r w:rsidR="008E1E7E">
        <w:rPr>
          <w:rFonts w:ascii="Verdana" w:eastAsia="Times New Roman" w:hAnsi="Verdana" w:cs="Times New Roman"/>
          <w:sz w:val="24"/>
          <w:szCs w:val="24"/>
          <w:lang w:val="ro-RO"/>
        </w:rPr>
        <w:t xml:space="preserve"> </w:t>
      </w:r>
      <w:r w:rsidR="008E1E7E" w:rsidRPr="00F24CA9">
        <w:rPr>
          <w:rFonts w:ascii="Verdana" w:eastAsia="Times New Roman" w:hAnsi="Verdana" w:cs="Times New Roman"/>
          <w:sz w:val="24"/>
          <w:szCs w:val="24"/>
          <w:lang w:val="ro-RO"/>
        </w:rPr>
        <w:t>[</w:t>
      </w:r>
      <w:r w:rsidR="008E1E7E">
        <w:rPr>
          <w:rFonts w:ascii="Verdana" w:eastAsia="Times New Roman" w:hAnsi="Verdana" w:cs="Times New Roman"/>
          <w:sz w:val="24"/>
          <w:szCs w:val="24"/>
          <w:lang w:val="ro-RO"/>
        </w:rPr>
        <w:t>în loc să lucreze la instanță de judecată</w:t>
      </w:r>
      <w:r w:rsidR="008E1E7E" w:rsidRPr="00F24CA9">
        <w:rPr>
          <w:rFonts w:ascii="Verdana" w:eastAsia="Times New Roman" w:hAnsi="Verdana" w:cs="Times New Roman"/>
          <w:sz w:val="24"/>
          <w:szCs w:val="24"/>
          <w:lang w:val="ro-RO"/>
        </w:rPr>
        <w:t>]</w:t>
      </w:r>
      <w:r w:rsidRPr="00881EA1">
        <w:rPr>
          <w:rFonts w:ascii="Verdana" w:eastAsia="Times New Roman" w:hAnsi="Verdana" w:cs="Times New Roman"/>
          <w:sz w:val="24"/>
          <w:szCs w:val="24"/>
          <w:lang w:val="ro-RO"/>
        </w:rPr>
        <w:t xml:space="preserve">, dar și faptul că membrii Inspecției Judiciare și-au permis să critice faptul că dna Chiriac protestează public făcînd aluzii la </w:t>
      </w:r>
      <w:r w:rsidR="004A1410">
        <w:rPr>
          <w:rFonts w:ascii="Verdana" w:eastAsia="Times New Roman" w:hAnsi="Verdana" w:cs="Times New Roman"/>
          <w:sz w:val="24"/>
          <w:szCs w:val="24"/>
          <w:lang w:val="ro-RO"/>
        </w:rPr>
        <w:t>apartenența ei la Falun</w:t>
      </w:r>
      <w:r w:rsidRPr="00881EA1">
        <w:rPr>
          <w:rFonts w:ascii="Verdana" w:eastAsia="Times New Roman" w:hAnsi="Verdana" w:cs="Times New Roman"/>
          <w:sz w:val="24"/>
          <w:szCs w:val="24"/>
          <w:lang w:val="ro-RO"/>
        </w:rPr>
        <w:t xml:space="preserve"> oferă temeiuri de a crede că anume convingerile dnei Chiriac au stat la baza acțiunilor de hărțuire.</w:t>
      </w:r>
    </w:p>
    <w:p w:rsidR="00881EA1" w:rsidRPr="008071DB" w:rsidRDefault="00881EA1" w:rsidP="00881EA1">
      <w:pPr>
        <w:jc w:val="both"/>
        <w:rPr>
          <w:rFonts w:ascii="Verdana" w:eastAsia="Times New Roman" w:hAnsi="Verdana" w:cs="Times New Roman"/>
          <w:color w:val="000000"/>
          <w:sz w:val="24"/>
          <w:szCs w:val="24"/>
          <w:lang w:val="ro-RO"/>
        </w:rPr>
      </w:pPr>
      <w:r w:rsidRPr="00881EA1">
        <w:rPr>
          <w:rFonts w:ascii="Verdana" w:eastAsia="Times New Roman" w:hAnsi="Verdana" w:cs="Times New Roman"/>
          <w:sz w:val="24"/>
          <w:szCs w:val="24"/>
          <w:lang w:val="ro-RO"/>
        </w:rPr>
        <w:t xml:space="preserve">13. Remarcăm faptul că potrivit legislației naționale hărțuirea este acea formă de discriminare care se manifestă prin </w:t>
      </w:r>
      <w:r w:rsidRPr="008071DB">
        <w:rPr>
          <w:rFonts w:ascii="Verdana" w:eastAsia="Times New Roman" w:hAnsi="Verdana" w:cs="Times New Roman"/>
          <w:color w:val="000000"/>
          <w:sz w:val="24"/>
          <w:szCs w:val="24"/>
          <w:lang w:val="ro-RO"/>
        </w:rPr>
        <w:t xml:space="preserve">orice comportament nedorit care conduce la crearea unui mediu intimidant, ostil, degradant, umilitor sau ofensator, avînd drept scop sau efect lezarea demnităţii unei persoane pe baza criteriilor stipulate de prezenta lege. În același timp, la nivelul Uniunii </w:t>
      </w:r>
      <w:r w:rsidRPr="008071DB">
        <w:rPr>
          <w:rFonts w:ascii="Verdana" w:eastAsia="Times New Roman" w:hAnsi="Verdana" w:cs="Times New Roman"/>
          <w:color w:val="000000"/>
          <w:sz w:val="24"/>
          <w:szCs w:val="24"/>
          <w:lang w:val="ro-RO"/>
        </w:rPr>
        <w:lastRenderedPageBreak/>
        <w:t xml:space="preserve">Europene Directiva Consiliului UE 2000/78/EC din 27 noiembrie 2000 oferă o definiție asemănătoare protejînd împotriva hărțuirii la locul de muncă inclusiv pe criteriu de religie. </w:t>
      </w:r>
    </w:p>
    <w:p w:rsidR="00881EA1" w:rsidRPr="00881EA1" w:rsidRDefault="00881EA1" w:rsidP="00881EA1">
      <w:pPr>
        <w:jc w:val="both"/>
        <w:rPr>
          <w:rFonts w:ascii="Verdana" w:eastAsia="Times New Roman" w:hAnsi="Verdana" w:cs="Times New Roman"/>
          <w:color w:val="000000"/>
          <w:sz w:val="24"/>
          <w:szCs w:val="24"/>
          <w:lang w:val="en-US"/>
        </w:rPr>
      </w:pPr>
      <w:r w:rsidRPr="00F24CA9">
        <w:rPr>
          <w:rFonts w:ascii="Verdana" w:eastAsia="Times New Roman" w:hAnsi="Verdana" w:cs="Times New Roman"/>
          <w:color w:val="000000"/>
          <w:sz w:val="24"/>
          <w:szCs w:val="24"/>
          <w:lang w:val="fr-CA"/>
        </w:rPr>
        <w:t xml:space="preserve">13.  </w:t>
      </w:r>
      <w:proofErr w:type="spellStart"/>
      <w:r w:rsidRPr="00F24CA9">
        <w:rPr>
          <w:rFonts w:ascii="Verdana" w:eastAsia="Times New Roman" w:hAnsi="Verdana" w:cs="Times New Roman"/>
          <w:color w:val="000000"/>
          <w:sz w:val="24"/>
          <w:szCs w:val="24"/>
          <w:lang w:val="fr-CA"/>
        </w:rPr>
        <w:t>Subliniem</w:t>
      </w:r>
      <w:proofErr w:type="spellEnd"/>
      <w:r w:rsidRPr="00F24CA9">
        <w:rPr>
          <w:rFonts w:ascii="Verdana" w:eastAsia="Times New Roman" w:hAnsi="Verdana" w:cs="Times New Roman"/>
          <w:color w:val="000000"/>
          <w:sz w:val="24"/>
          <w:szCs w:val="24"/>
          <w:lang w:val="fr-CA"/>
        </w:rPr>
        <w:t xml:space="preserve"> </w:t>
      </w:r>
      <w:proofErr w:type="spellStart"/>
      <w:r w:rsidRPr="00F24CA9">
        <w:rPr>
          <w:rFonts w:ascii="Verdana" w:eastAsia="Times New Roman" w:hAnsi="Verdana" w:cs="Times New Roman"/>
          <w:color w:val="000000"/>
          <w:sz w:val="24"/>
          <w:szCs w:val="24"/>
          <w:lang w:val="fr-CA"/>
        </w:rPr>
        <w:t>că</w:t>
      </w:r>
      <w:proofErr w:type="spellEnd"/>
      <w:r w:rsidRPr="00F24CA9">
        <w:rPr>
          <w:rFonts w:ascii="Verdana" w:eastAsia="Times New Roman" w:hAnsi="Verdana" w:cs="Times New Roman"/>
          <w:color w:val="000000"/>
          <w:sz w:val="24"/>
          <w:szCs w:val="24"/>
          <w:lang w:val="fr-CA"/>
        </w:rPr>
        <w:t xml:space="preserve">  </w:t>
      </w:r>
      <w:proofErr w:type="spellStart"/>
      <w:r w:rsidRPr="00F24CA9">
        <w:rPr>
          <w:rFonts w:ascii="Verdana" w:eastAsia="Times New Roman" w:hAnsi="Verdana" w:cs="Times New Roman"/>
          <w:color w:val="000000"/>
          <w:sz w:val="24"/>
          <w:szCs w:val="24"/>
          <w:lang w:val="fr-CA"/>
        </w:rPr>
        <w:t>hăr</w:t>
      </w:r>
      <w:proofErr w:type="spellEnd"/>
      <w:r w:rsidRPr="00F24CA9">
        <w:rPr>
          <w:rFonts w:ascii="Verdana" w:eastAsia="Times New Roman" w:hAnsi="Verdana" w:cs="Times New Roman"/>
          <w:color w:val="000000"/>
          <w:sz w:val="24"/>
          <w:szCs w:val="24"/>
          <w:lang w:val="fr-CA"/>
        </w:rPr>
        <w:t>ț</w:t>
      </w:r>
      <w:proofErr w:type="spellStart"/>
      <w:r w:rsidRPr="00F24CA9">
        <w:rPr>
          <w:rFonts w:ascii="Verdana" w:eastAsia="Times New Roman" w:hAnsi="Verdana" w:cs="Times New Roman"/>
          <w:color w:val="000000"/>
          <w:sz w:val="24"/>
          <w:szCs w:val="24"/>
          <w:lang w:val="fr-CA"/>
        </w:rPr>
        <w:t>uirea</w:t>
      </w:r>
      <w:proofErr w:type="spellEnd"/>
      <w:r w:rsidRPr="00F24CA9">
        <w:rPr>
          <w:rFonts w:ascii="Verdana" w:eastAsia="Times New Roman" w:hAnsi="Verdana" w:cs="Times New Roman"/>
          <w:color w:val="000000"/>
          <w:sz w:val="24"/>
          <w:szCs w:val="24"/>
          <w:lang w:val="fr-CA"/>
        </w:rPr>
        <w:t xml:space="preserve"> de </w:t>
      </w:r>
      <w:proofErr w:type="spellStart"/>
      <w:r w:rsidRPr="00F24CA9">
        <w:rPr>
          <w:rFonts w:ascii="Verdana" w:eastAsia="Times New Roman" w:hAnsi="Verdana" w:cs="Times New Roman"/>
          <w:color w:val="000000"/>
          <w:sz w:val="24"/>
          <w:szCs w:val="24"/>
          <w:lang w:val="fr-CA"/>
        </w:rPr>
        <w:t>regulă</w:t>
      </w:r>
      <w:proofErr w:type="spellEnd"/>
      <w:r w:rsidRPr="00F24CA9">
        <w:rPr>
          <w:rFonts w:ascii="Verdana" w:eastAsia="Times New Roman" w:hAnsi="Verdana" w:cs="Times New Roman"/>
          <w:color w:val="000000"/>
          <w:sz w:val="24"/>
          <w:szCs w:val="24"/>
          <w:lang w:val="fr-CA"/>
        </w:rPr>
        <w:t xml:space="preserve"> </w:t>
      </w:r>
      <w:proofErr w:type="spellStart"/>
      <w:r w:rsidRPr="00F24CA9">
        <w:rPr>
          <w:rFonts w:ascii="Verdana" w:eastAsia="Times New Roman" w:hAnsi="Verdana" w:cs="Times New Roman"/>
          <w:color w:val="000000"/>
          <w:sz w:val="24"/>
          <w:szCs w:val="24"/>
          <w:lang w:val="fr-CA"/>
        </w:rPr>
        <w:t>constituie</w:t>
      </w:r>
      <w:proofErr w:type="spellEnd"/>
      <w:r w:rsidRPr="00F24CA9">
        <w:rPr>
          <w:rFonts w:ascii="Verdana" w:eastAsia="Times New Roman" w:hAnsi="Verdana" w:cs="Times New Roman"/>
          <w:color w:val="000000"/>
          <w:sz w:val="24"/>
          <w:szCs w:val="24"/>
          <w:lang w:val="fr-CA"/>
        </w:rPr>
        <w:t xml:space="preserve"> un </w:t>
      </w:r>
      <w:proofErr w:type="spellStart"/>
      <w:r w:rsidRPr="00F24CA9">
        <w:rPr>
          <w:rFonts w:ascii="Verdana" w:eastAsia="Times New Roman" w:hAnsi="Verdana" w:cs="Times New Roman"/>
          <w:color w:val="000000"/>
          <w:sz w:val="24"/>
          <w:szCs w:val="24"/>
          <w:lang w:val="fr-CA"/>
        </w:rPr>
        <w:t>proces</w:t>
      </w:r>
      <w:proofErr w:type="spellEnd"/>
      <w:r w:rsidRPr="00F24CA9">
        <w:rPr>
          <w:rFonts w:ascii="Verdana" w:eastAsia="Times New Roman" w:hAnsi="Verdana" w:cs="Times New Roman"/>
          <w:color w:val="000000"/>
          <w:sz w:val="24"/>
          <w:szCs w:val="24"/>
          <w:lang w:val="fr-CA"/>
        </w:rPr>
        <w:t xml:space="preserve"> </w:t>
      </w:r>
      <w:proofErr w:type="spellStart"/>
      <w:r w:rsidRPr="00F24CA9">
        <w:rPr>
          <w:rFonts w:ascii="Verdana" w:eastAsia="Times New Roman" w:hAnsi="Verdana" w:cs="Times New Roman"/>
          <w:color w:val="000000"/>
          <w:sz w:val="24"/>
          <w:szCs w:val="24"/>
          <w:lang w:val="fr-CA"/>
        </w:rPr>
        <w:t>continuu</w:t>
      </w:r>
      <w:proofErr w:type="spellEnd"/>
      <w:r w:rsidRPr="00F24CA9">
        <w:rPr>
          <w:rFonts w:ascii="Verdana" w:eastAsia="Times New Roman" w:hAnsi="Verdana" w:cs="Times New Roman"/>
          <w:color w:val="000000"/>
          <w:sz w:val="24"/>
          <w:szCs w:val="24"/>
          <w:lang w:val="fr-CA"/>
        </w:rPr>
        <w:t xml:space="preserve">, construit </w:t>
      </w:r>
      <w:proofErr w:type="spellStart"/>
      <w:r w:rsidRPr="00F24CA9">
        <w:rPr>
          <w:rFonts w:ascii="Verdana" w:eastAsia="Times New Roman" w:hAnsi="Verdana" w:cs="Times New Roman"/>
          <w:color w:val="000000"/>
          <w:sz w:val="24"/>
          <w:szCs w:val="24"/>
          <w:lang w:val="fr-CA"/>
        </w:rPr>
        <w:t>prin</w:t>
      </w:r>
      <w:proofErr w:type="spellEnd"/>
      <w:r w:rsidRPr="00F24CA9">
        <w:rPr>
          <w:rFonts w:ascii="Verdana" w:eastAsia="Times New Roman" w:hAnsi="Verdana" w:cs="Times New Roman"/>
          <w:color w:val="000000"/>
          <w:sz w:val="24"/>
          <w:szCs w:val="24"/>
          <w:lang w:val="fr-CA"/>
        </w:rPr>
        <w:t xml:space="preserve"> acte </w:t>
      </w:r>
      <w:proofErr w:type="spellStart"/>
      <w:r w:rsidRPr="00F24CA9">
        <w:rPr>
          <w:rFonts w:ascii="Verdana" w:eastAsia="Times New Roman" w:hAnsi="Verdana" w:cs="Times New Roman"/>
          <w:color w:val="000000"/>
          <w:sz w:val="24"/>
          <w:szCs w:val="24"/>
          <w:lang w:val="fr-CA"/>
        </w:rPr>
        <w:t>repetitive</w:t>
      </w:r>
      <w:proofErr w:type="spellEnd"/>
      <w:r w:rsidRPr="00F24CA9">
        <w:rPr>
          <w:rFonts w:ascii="Verdana" w:eastAsia="Times New Roman" w:hAnsi="Verdana" w:cs="Times New Roman"/>
          <w:color w:val="000000"/>
          <w:sz w:val="24"/>
          <w:szCs w:val="24"/>
          <w:lang w:val="fr-CA"/>
        </w:rPr>
        <w:t xml:space="preserve"> și </w:t>
      </w:r>
      <w:proofErr w:type="spellStart"/>
      <w:r w:rsidRPr="00F24CA9">
        <w:rPr>
          <w:rFonts w:ascii="Verdana" w:eastAsia="Times New Roman" w:hAnsi="Verdana" w:cs="Times New Roman"/>
          <w:color w:val="000000"/>
          <w:sz w:val="24"/>
          <w:szCs w:val="24"/>
          <w:lang w:val="fr-CA"/>
        </w:rPr>
        <w:t>sistemice</w:t>
      </w:r>
      <w:proofErr w:type="spellEnd"/>
      <w:r w:rsidRPr="00F24CA9">
        <w:rPr>
          <w:rFonts w:ascii="Verdana" w:eastAsia="Times New Roman" w:hAnsi="Verdana" w:cs="Times New Roman"/>
          <w:color w:val="000000"/>
          <w:sz w:val="24"/>
          <w:szCs w:val="24"/>
          <w:lang w:val="fr-CA"/>
        </w:rPr>
        <w:t xml:space="preserve">. </w:t>
      </w:r>
      <w:proofErr w:type="spellStart"/>
      <w:r w:rsidRPr="00881EA1">
        <w:rPr>
          <w:rFonts w:ascii="Verdana" w:eastAsia="Times New Roman" w:hAnsi="Verdana" w:cs="Times New Roman"/>
          <w:color w:val="000000"/>
          <w:sz w:val="24"/>
          <w:szCs w:val="24"/>
          <w:lang w:val="en-US"/>
        </w:rPr>
        <w:t>În</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speță</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petiționarea</w:t>
      </w:r>
      <w:proofErr w:type="spellEnd"/>
      <w:r w:rsidRPr="00881EA1">
        <w:rPr>
          <w:rFonts w:ascii="Verdana" w:eastAsia="Times New Roman" w:hAnsi="Verdana" w:cs="Times New Roman"/>
          <w:color w:val="000000"/>
          <w:sz w:val="24"/>
          <w:szCs w:val="24"/>
          <w:lang w:val="en-US"/>
        </w:rPr>
        <w:t xml:space="preserve"> a </w:t>
      </w:r>
      <w:proofErr w:type="spellStart"/>
      <w:r w:rsidRPr="00881EA1">
        <w:rPr>
          <w:rFonts w:ascii="Verdana" w:eastAsia="Times New Roman" w:hAnsi="Verdana" w:cs="Times New Roman"/>
          <w:color w:val="000000"/>
          <w:sz w:val="24"/>
          <w:szCs w:val="24"/>
          <w:lang w:val="en-US"/>
        </w:rPr>
        <w:t>fost</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supusă</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mai</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multor</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acțiuni</w:t>
      </w:r>
      <w:proofErr w:type="spellEnd"/>
      <w:r w:rsidRPr="00881EA1">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ap</w:t>
      </w:r>
      <w:r w:rsidRPr="00881EA1">
        <w:rPr>
          <w:rFonts w:ascii="Verdana" w:eastAsia="Times New Roman" w:hAnsi="Verdana" w:cs="Times New Roman"/>
          <w:color w:val="000000"/>
          <w:sz w:val="24"/>
          <w:szCs w:val="24"/>
          <w:lang w:val="en-US"/>
        </w:rPr>
        <w:t>arent</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legale</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în</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limitele</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competențelor</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reclamatei</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dar</w:t>
      </w:r>
      <w:proofErr w:type="spellEnd"/>
      <w:r w:rsidRPr="00881EA1">
        <w:rPr>
          <w:rFonts w:ascii="Verdana" w:eastAsia="Times New Roman" w:hAnsi="Verdana" w:cs="Times New Roman"/>
          <w:color w:val="000000"/>
          <w:sz w:val="24"/>
          <w:szCs w:val="24"/>
          <w:lang w:val="en-US"/>
        </w:rPr>
        <w:t xml:space="preserve"> care </w:t>
      </w:r>
      <w:proofErr w:type="spellStart"/>
      <w:r w:rsidRPr="00881EA1">
        <w:rPr>
          <w:rFonts w:ascii="Verdana" w:eastAsia="Times New Roman" w:hAnsi="Verdana" w:cs="Times New Roman"/>
          <w:color w:val="000000"/>
          <w:sz w:val="24"/>
          <w:szCs w:val="24"/>
          <w:lang w:val="en-US"/>
        </w:rPr>
        <w:t>luate</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în</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ansamblu</w:t>
      </w:r>
      <w:proofErr w:type="spellEnd"/>
      <w:r w:rsidRPr="00881EA1">
        <w:rPr>
          <w:rFonts w:ascii="Verdana" w:eastAsia="Times New Roman" w:hAnsi="Verdana" w:cs="Times New Roman"/>
          <w:color w:val="000000"/>
          <w:sz w:val="24"/>
          <w:szCs w:val="24"/>
          <w:lang w:val="en-US"/>
        </w:rPr>
        <w:t xml:space="preserve"> au </w:t>
      </w:r>
      <w:proofErr w:type="spellStart"/>
      <w:r w:rsidRPr="00881EA1">
        <w:rPr>
          <w:rFonts w:ascii="Verdana" w:eastAsia="Times New Roman" w:hAnsi="Verdana" w:cs="Times New Roman"/>
          <w:color w:val="000000"/>
          <w:sz w:val="24"/>
          <w:szCs w:val="24"/>
          <w:lang w:val="en-US"/>
        </w:rPr>
        <w:t>contribuit</w:t>
      </w:r>
      <w:proofErr w:type="spellEnd"/>
      <w:r w:rsidRPr="00881EA1">
        <w:rPr>
          <w:rFonts w:ascii="Verdana" w:eastAsia="Times New Roman" w:hAnsi="Verdana" w:cs="Times New Roman"/>
          <w:color w:val="000000"/>
          <w:sz w:val="24"/>
          <w:szCs w:val="24"/>
          <w:lang w:val="en-US"/>
        </w:rPr>
        <w:t xml:space="preserve"> la </w:t>
      </w:r>
      <w:proofErr w:type="spellStart"/>
      <w:r w:rsidRPr="00881EA1">
        <w:rPr>
          <w:rFonts w:ascii="Verdana" w:eastAsia="Times New Roman" w:hAnsi="Verdana" w:cs="Times New Roman"/>
          <w:color w:val="000000"/>
          <w:sz w:val="24"/>
          <w:szCs w:val="24"/>
          <w:lang w:val="en-US"/>
        </w:rPr>
        <w:t>instituirea</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acelui</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mediu</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ostil</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intimidant</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și</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degradat</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pentru</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demnitatea</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acesteia</w:t>
      </w:r>
      <w:proofErr w:type="spellEnd"/>
      <w:r w:rsidRPr="00881EA1">
        <w:rPr>
          <w:rFonts w:ascii="Verdana" w:eastAsia="Times New Roman" w:hAnsi="Verdana" w:cs="Times New Roman"/>
          <w:color w:val="000000"/>
          <w:sz w:val="24"/>
          <w:szCs w:val="24"/>
          <w:lang w:val="en-US"/>
        </w:rPr>
        <w:t xml:space="preserve">. </w:t>
      </w:r>
    </w:p>
    <w:p w:rsidR="00881EA1" w:rsidRDefault="00881EA1" w:rsidP="00881EA1">
      <w:pPr>
        <w:jc w:val="both"/>
        <w:rPr>
          <w:rFonts w:ascii="Verdana" w:eastAsia="Times New Roman" w:hAnsi="Verdana" w:cs="Times New Roman"/>
          <w:color w:val="000000"/>
          <w:sz w:val="24"/>
          <w:szCs w:val="24"/>
          <w:lang w:val="en-US"/>
        </w:rPr>
      </w:pPr>
      <w:r w:rsidRPr="00881EA1">
        <w:rPr>
          <w:rFonts w:ascii="Verdana" w:eastAsia="Times New Roman" w:hAnsi="Verdana" w:cs="Times New Roman"/>
          <w:color w:val="000000"/>
          <w:sz w:val="24"/>
          <w:szCs w:val="24"/>
          <w:lang w:val="en-US"/>
        </w:rPr>
        <w:t xml:space="preserve">14. </w:t>
      </w:r>
      <w:proofErr w:type="spellStart"/>
      <w:r w:rsidRPr="00881EA1">
        <w:rPr>
          <w:rFonts w:ascii="Verdana" w:eastAsia="Times New Roman" w:hAnsi="Verdana" w:cs="Times New Roman"/>
          <w:color w:val="000000"/>
          <w:sz w:val="24"/>
          <w:szCs w:val="24"/>
          <w:lang w:val="en-US"/>
        </w:rPr>
        <w:t>Premierea</w:t>
      </w:r>
      <w:proofErr w:type="spellEnd"/>
      <w:r w:rsidRPr="00881EA1">
        <w:rPr>
          <w:rFonts w:ascii="Verdana" w:eastAsia="Times New Roman" w:hAnsi="Verdana" w:cs="Times New Roman"/>
          <w:color w:val="000000"/>
          <w:sz w:val="24"/>
          <w:szCs w:val="24"/>
          <w:lang w:val="en-US"/>
        </w:rPr>
        <w:t xml:space="preserve"> </w:t>
      </w:r>
      <w:proofErr w:type="spellStart"/>
      <w:r w:rsidR="004A1410">
        <w:rPr>
          <w:rFonts w:ascii="Verdana" w:eastAsia="Times New Roman" w:hAnsi="Verdana" w:cs="Times New Roman"/>
          <w:color w:val="000000"/>
          <w:sz w:val="24"/>
          <w:szCs w:val="24"/>
          <w:lang w:val="en-US"/>
        </w:rPr>
        <w:t>bănească</w:t>
      </w:r>
      <w:proofErr w:type="spellEnd"/>
      <w:r w:rsidR="004A1410">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inegal</w:t>
      </w:r>
      <w:r w:rsidR="004A1410">
        <w:rPr>
          <w:rFonts w:ascii="Verdana" w:eastAsia="Times New Roman" w:hAnsi="Verdana" w:cs="Times New Roman"/>
          <w:color w:val="000000"/>
          <w:sz w:val="24"/>
          <w:szCs w:val="24"/>
          <w:lang w:val="en-US"/>
        </w:rPr>
        <w:t>ă</w:t>
      </w:r>
      <w:proofErr w:type="spellEnd"/>
      <w:r w:rsidRPr="00881EA1">
        <w:rPr>
          <w:rFonts w:ascii="Verdana" w:eastAsia="Times New Roman" w:hAnsi="Verdana" w:cs="Times New Roman"/>
          <w:color w:val="000000"/>
          <w:sz w:val="24"/>
          <w:szCs w:val="24"/>
          <w:lang w:val="en-US"/>
        </w:rPr>
        <w:t xml:space="preserve"> a </w:t>
      </w:r>
      <w:proofErr w:type="spellStart"/>
      <w:r w:rsidRPr="00881EA1">
        <w:rPr>
          <w:rFonts w:ascii="Verdana" w:eastAsia="Times New Roman" w:hAnsi="Verdana" w:cs="Times New Roman"/>
          <w:color w:val="000000"/>
          <w:sz w:val="24"/>
          <w:szCs w:val="24"/>
          <w:lang w:val="en-US"/>
        </w:rPr>
        <w:t>reclamantei</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în</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raport</w:t>
      </w:r>
      <w:proofErr w:type="spellEnd"/>
      <w:r w:rsidRPr="00881EA1">
        <w:rPr>
          <w:rFonts w:ascii="Verdana" w:eastAsia="Times New Roman" w:hAnsi="Verdana" w:cs="Times New Roman"/>
          <w:color w:val="000000"/>
          <w:sz w:val="24"/>
          <w:szCs w:val="24"/>
          <w:lang w:val="en-US"/>
        </w:rPr>
        <w:t xml:space="preserve"> cu </w:t>
      </w:r>
      <w:proofErr w:type="spellStart"/>
      <w:r w:rsidRPr="00881EA1">
        <w:rPr>
          <w:rFonts w:ascii="Verdana" w:eastAsia="Times New Roman" w:hAnsi="Verdana" w:cs="Times New Roman"/>
          <w:color w:val="000000"/>
          <w:sz w:val="24"/>
          <w:szCs w:val="24"/>
          <w:lang w:val="en-US"/>
        </w:rPr>
        <w:t>ceilalți</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angajați</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în</w:t>
      </w:r>
      <w:proofErr w:type="spellEnd"/>
      <w:r w:rsidRPr="00881EA1">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contextu</w:t>
      </w:r>
      <w:r w:rsidRPr="00881EA1">
        <w:rPr>
          <w:rFonts w:ascii="Verdana" w:eastAsia="Times New Roman" w:hAnsi="Verdana" w:cs="Times New Roman"/>
          <w:color w:val="000000"/>
          <w:sz w:val="24"/>
          <w:szCs w:val="24"/>
          <w:lang w:val="en-US"/>
        </w:rPr>
        <w:t>l</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evaluării</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performanțelor</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angajaților</w:t>
      </w:r>
      <w:proofErr w:type="spellEnd"/>
      <w:r w:rsidRPr="00881EA1">
        <w:rPr>
          <w:rFonts w:ascii="Verdana" w:eastAsia="Times New Roman" w:hAnsi="Verdana" w:cs="Times New Roman"/>
          <w:color w:val="000000"/>
          <w:sz w:val="24"/>
          <w:szCs w:val="24"/>
          <w:lang w:val="en-US"/>
        </w:rPr>
        <w:t>,</w:t>
      </w:r>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premierea</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inegală</w:t>
      </w:r>
      <w:proofErr w:type="spellEnd"/>
      <w:r w:rsidRPr="00881EA1">
        <w:rPr>
          <w:rFonts w:ascii="Verdana" w:eastAsia="Times New Roman" w:hAnsi="Verdana" w:cs="Times New Roman"/>
          <w:color w:val="000000"/>
          <w:sz w:val="24"/>
          <w:szCs w:val="24"/>
          <w:lang w:val="en-US"/>
        </w:rPr>
        <w:t xml:space="preserve"> de 8 </w:t>
      </w:r>
      <w:proofErr w:type="spellStart"/>
      <w:r w:rsidRPr="00881EA1">
        <w:rPr>
          <w:rFonts w:ascii="Verdana" w:eastAsia="Times New Roman" w:hAnsi="Verdana" w:cs="Times New Roman"/>
          <w:color w:val="000000"/>
          <w:sz w:val="24"/>
          <w:szCs w:val="24"/>
          <w:lang w:val="en-US"/>
        </w:rPr>
        <w:t>martie</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evaluarea</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performanțelor</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petiționarei</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mai</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tîrziu</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decît</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pentru</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ceilalți</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angajați</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și</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doar</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în</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privința</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ei</w:t>
      </w:r>
      <w:proofErr w:type="spellEnd"/>
      <w:r w:rsidRPr="00881EA1">
        <w:rPr>
          <w:rFonts w:ascii="Verdana" w:eastAsia="Times New Roman" w:hAnsi="Verdana" w:cs="Times New Roman"/>
          <w:color w:val="000000"/>
          <w:sz w:val="24"/>
          <w:szCs w:val="24"/>
          <w:lang w:val="en-US"/>
        </w:rPr>
        <w:t xml:space="preserve"> cu </w:t>
      </w:r>
      <w:proofErr w:type="spellStart"/>
      <w:r w:rsidRPr="00881EA1">
        <w:rPr>
          <w:rFonts w:ascii="Verdana" w:eastAsia="Times New Roman" w:hAnsi="Verdana" w:cs="Times New Roman"/>
          <w:color w:val="000000"/>
          <w:sz w:val="24"/>
          <w:szCs w:val="24"/>
          <w:lang w:val="en-US"/>
        </w:rPr>
        <w:t>calificativul</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satisfăcător</w:t>
      </w:r>
      <w:proofErr w:type="spellEnd"/>
      <w:r w:rsidR="004A1410">
        <w:rPr>
          <w:rFonts w:ascii="Verdana" w:eastAsia="Times New Roman" w:hAnsi="Verdana" w:cs="Times New Roman"/>
          <w:color w:val="000000"/>
          <w:sz w:val="24"/>
          <w:szCs w:val="24"/>
          <w:lang w:val="en-US"/>
        </w:rPr>
        <w:t xml:space="preserve"> (</w:t>
      </w:r>
      <w:proofErr w:type="spellStart"/>
      <w:r w:rsidR="004A1410">
        <w:rPr>
          <w:rFonts w:ascii="Verdana" w:eastAsia="Times New Roman" w:hAnsi="Verdana" w:cs="Times New Roman"/>
          <w:color w:val="000000"/>
          <w:sz w:val="24"/>
          <w:szCs w:val="24"/>
          <w:lang w:val="en-US"/>
        </w:rPr>
        <w:t>ceilalți</w:t>
      </w:r>
      <w:proofErr w:type="spellEnd"/>
      <w:r w:rsidR="004A1410">
        <w:rPr>
          <w:rFonts w:ascii="Verdana" w:eastAsia="Times New Roman" w:hAnsi="Verdana" w:cs="Times New Roman"/>
          <w:color w:val="000000"/>
          <w:sz w:val="24"/>
          <w:szCs w:val="24"/>
          <w:lang w:val="en-US"/>
        </w:rPr>
        <w:t xml:space="preserve"> </w:t>
      </w:r>
      <w:proofErr w:type="spellStart"/>
      <w:r w:rsidR="004A1410">
        <w:rPr>
          <w:rFonts w:ascii="Verdana" w:eastAsia="Times New Roman" w:hAnsi="Verdana" w:cs="Times New Roman"/>
          <w:color w:val="000000"/>
          <w:sz w:val="24"/>
          <w:szCs w:val="24"/>
          <w:lang w:val="en-US"/>
        </w:rPr>
        <w:t>avînd</w:t>
      </w:r>
      <w:proofErr w:type="spellEnd"/>
      <w:r w:rsidR="004A1410">
        <w:rPr>
          <w:rFonts w:ascii="Verdana" w:eastAsia="Times New Roman" w:hAnsi="Verdana" w:cs="Times New Roman"/>
          <w:color w:val="000000"/>
          <w:sz w:val="24"/>
          <w:szCs w:val="24"/>
          <w:lang w:val="en-US"/>
        </w:rPr>
        <w:t xml:space="preserve"> </w:t>
      </w:r>
      <w:proofErr w:type="spellStart"/>
      <w:r w:rsidR="004A1410">
        <w:rPr>
          <w:rFonts w:ascii="Verdana" w:eastAsia="Times New Roman" w:hAnsi="Verdana" w:cs="Times New Roman"/>
          <w:color w:val="000000"/>
          <w:sz w:val="24"/>
          <w:szCs w:val="24"/>
          <w:lang w:val="en-US"/>
        </w:rPr>
        <w:t>calificativul</w:t>
      </w:r>
      <w:proofErr w:type="spellEnd"/>
      <w:r w:rsidR="004A1410">
        <w:rPr>
          <w:rFonts w:ascii="Verdana" w:eastAsia="Times New Roman" w:hAnsi="Verdana" w:cs="Times New Roman"/>
          <w:color w:val="000000"/>
          <w:sz w:val="24"/>
          <w:szCs w:val="24"/>
          <w:lang w:val="en-US"/>
        </w:rPr>
        <w:t xml:space="preserve"> </w:t>
      </w:r>
      <w:proofErr w:type="spellStart"/>
      <w:r w:rsidR="004A1410">
        <w:rPr>
          <w:rFonts w:ascii="Verdana" w:eastAsia="Times New Roman" w:hAnsi="Verdana" w:cs="Times New Roman"/>
          <w:color w:val="000000"/>
          <w:sz w:val="24"/>
          <w:szCs w:val="24"/>
          <w:lang w:val="en-US"/>
        </w:rPr>
        <w:t>mai</w:t>
      </w:r>
      <w:proofErr w:type="spellEnd"/>
      <w:r w:rsidR="004A1410">
        <w:rPr>
          <w:rFonts w:ascii="Verdana" w:eastAsia="Times New Roman" w:hAnsi="Verdana" w:cs="Times New Roman"/>
          <w:color w:val="000000"/>
          <w:sz w:val="24"/>
          <w:szCs w:val="24"/>
          <w:lang w:val="en-US"/>
        </w:rPr>
        <w:t xml:space="preserve"> superior)</w:t>
      </w:r>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neacordarea</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concediului</w:t>
      </w:r>
      <w:proofErr w:type="spellEnd"/>
      <w:r w:rsidRPr="00881EA1">
        <w:rPr>
          <w:rFonts w:ascii="Verdana" w:eastAsia="Times New Roman" w:hAnsi="Verdana" w:cs="Times New Roman"/>
          <w:color w:val="000000"/>
          <w:sz w:val="24"/>
          <w:szCs w:val="24"/>
          <w:lang w:val="en-US"/>
        </w:rPr>
        <w:t xml:space="preserve"> de </w:t>
      </w:r>
      <w:proofErr w:type="spellStart"/>
      <w:r w:rsidRPr="00881EA1">
        <w:rPr>
          <w:rFonts w:ascii="Verdana" w:eastAsia="Times New Roman" w:hAnsi="Verdana" w:cs="Times New Roman"/>
          <w:color w:val="000000"/>
          <w:sz w:val="24"/>
          <w:szCs w:val="24"/>
          <w:lang w:val="en-US"/>
        </w:rPr>
        <w:t>odihna</w:t>
      </w:r>
      <w:proofErr w:type="spellEnd"/>
      <w:r w:rsidRPr="00881EA1">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an</w:t>
      </w:r>
      <w:r w:rsidRPr="00881EA1">
        <w:rPr>
          <w:rFonts w:ascii="Verdana" w:eastAsia="Times New Roman" w:hAnsi="Verdana" w:cs="Times New Roman"/>
          <w:color w:val="000000"/>
          <w:sz w:val="24"/>
          <w:szCs w:val="24"/>
          <w:lang w:val="en-US"/>
        </w:rPr>
        <w:t>ual</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atunci</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cînd</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acesta</w:t>
      </w:r>
      <w:proofErr w:type="spellEnd"/>
      <w:r w:rsidRPr="00881EA1">
        <w:rPr>
          <w:rFonts w:ascii="Verdana" w:eastAsia="Times New Roman" w:hAnsi="Verdana" w:cs="Times New Roman"/>
          <w:color w:val="000000"/>
          <w:sz w:val="24"/>
          <w:szCs w:val="24"/>
          <w:lang w:val="en-US"/>
        </w:rPr>
        <w:t xml:space="preserve"> l-a </w:t>
      </w:r>
      <w:proofErr w:type="spellStart"/>
      <w:r w:rsidRPr="00881EA1">
        <w:rPr>
          <w:rFonts w:ascii="Verdana" w:eastAsia="Times New Roman" w:hAnsi="Verdana" w:cs="Times New Roman"/>
          <w:color w:val="000000"/>
          <w:sz w:val="24"/>
          <w:szCs w:val="24"/>
          <w:lang w:val="en-US"/>
        </w:rPr>
        <w:t>solicitat</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deferirea</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doar</w:t>
      </w:r>
      <w:proofErr w:type="spellEnd"/>
      <w:r w:rsidRPr="00881EA1">
        <w:rPr>
          <w:rFonts w:ascii="Verdana" w:eastAsia="Times New Roman" w:hAnsi="Verdana" w:cs="Times New Roman"/>
          <w:color w:val="000000"/>
          <w:sz w:val="24"/>
          <w:szCs w:val="24"/>
          <w:lang w:val="en-US"/>
        </w:rPr>
        <w:t xml:space="preserve"> a </w:t>
      </w:r>
      <w:proofErr w:type="spellStart"/>
      <w:r w:rsidRPr="00881EA1">
        <w:rPr>
          <w:rFonts w:ascii="Verdana" w:eastAsia="Times New Roman" w:hAnsi="Verdana" w:cs="Times New Roman"/>
          <w:color w:val="000000"/>
          <w:sz w:val="24"/>
          <w:szCs w:val="24"/>
          <w:lang w:val="en-US"/>
        </w:rPr>
        <w:t>dnei</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Chiriac</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Comisiei</w:t>
      </w:r>
      <w:proofErr w:type="spellEnd"/>
      <w:r w:rsidRPr="00881EA1">
        <w:rPr>
          <w:rFonts w:ascii="Verdana" w:eastAsia="Times New Roman" w:hAnsi="Verdana" w:cs="Times New Roman"/>
          <w:color w:val="000000"/>
          <w:sz w:val="24"/>
          <w:szCs w:val="24"/>
          <w:lang w:val="en-US"/>
        </w:rPr>
        <w:t xml:space="preserve"> de </w:t>
      </w:r>
      <w:proofErr w:type="spellStart"/>
      <w:r w:rsidRPr="00881EA1">
        <w:rPr>
          <w:rFonts w:ascii="Verdana" w:eastAsia="Times New Roman" w:hAnsi="Verdana" w:cs="Times New Roman"/>
          <w:color w:val="000000"/>
          <w:sz w:val="24"/>
          <w:szCs w:val="24"/>
          <w:lang w:val="en-US"/>
        </w:rPr>
        <w:t>disciplină</w:t>
      </w:r>
      <w:proofErr w:type="spellEnd"/>
      <w:r w:rsidRPr="00881EA1">
        <w:rPr>
          <w:rFonts w:ascii="Verdana" w:eastAsia="Times New Roman" w:hAnsi="Verdana" w:cs="Times New Roman"/>
          <w:color w:val="000000"/>
          <w:sz w:val="24"/>
          <w:szCs w:val="24"/>
          <w:lang w:val="en-US"/>
        </w:rPr>
        <w:t xml:space="preserve"> create ad hoc </w:t>
      </w:r>
      <w:proofErr w:type="spellStart"/>
      <w:r w:rsidRPr="00881EA1">
        <w:rPr>
          <w:rFonts w:ascii="Verdana" w:eastAsia="Times New Roman" w:hAnsi="Verdana" w:cs="Times New Roman"/>
          <w:color w:val="000000"/>
          <w:sz w:val="24"/>
          <w:szCs w:val="24"/>
          <w:lang w:val="en-US"/>
        </w:rPr>
        <w:t>în</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cadrul</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instanței</w:t>
      </w:r>
      <w:proofErr w:type="spellEnd"/>
      <w:r w:rsidRPr="00881EA1">
        <w:rPr>
          <w:rFonts w:ascii="Verdana" w:eastAsia="Times New Roman" w:hAnsi="Verdana" w:cs="Times New Roman"/>
          <w:color w:val="000000"/>
          <w:sz w:val="24"/>
          <w:szCs w:val="24"/>
          <w:lang w:val="en-US"/>
        </w:rPr>
        <w:t xml:space="preserve"> de </w:t>
      </w:r>
      <w:proofErr w:type="spellStart"/>
      <w:r w:rsidRPr="00881EA1">
        <w:rPr>
          <w:rFonts w:ascii="Verdana" w:eastAsia="Times New Roman" w:hAnsi="Verdana" w:cs="Times New Roman"/>
          <w:color w:val="000000"/>
          <w:sz w:val="24"/>
          <w:szCs w:val="24"/>
          <w:lang w:val="en-US"/>
        </w:rPr>
        <w:t>judecată</w:t>
      </w:r>
      <w:proofErr w:type="spellEnd"/>
      <w:r w:rsidRPr="00881EA1">
        <w:rPr>
          <w:rFonts w:ascii="Verdana" w:eastAsia="Times New Roman" w:hAnsi="Verdana" w:cs="Times New Roman"/>
          <w:color w:val="000000"/>
          <w:sz w:val="24"/>
          <w:szCs w:val="24"/>
          <w:lang w:val="en-US"/>
        </w:rPr>
        <w:t>,</w:t>
      </w:r>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acțiuni</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completate</w:t>
      </w:r>
      <w:proofErr w:type="spellEnd"/>
      <w:r w:rsidRPr="00881EA1">
        <w:rPr>
          <w:rFonts w:ascii="Verdana" w:eastAsia="Times New Roman" w:hAnsi="Verdana" w:cs="Times New Roman"/>
          <w:color w:val="000000"/>
          <w:sz w:val="24"/>
          <w:szCs w:val="24"/>
          <w:lang w:val="en-US"/>
        </w:rPr>
        <w:t xml:space="preserve"> de </w:t>
      </w:r>
      <w:proofErr w:type="spellStart"/>
      <w:r w:rsidRPr="00881EA1">
        <w:rPr>
          <w:rFonts w:ascii="Verdana" w:eastAsia="Times New Roman" w:hAnsi="Verdana" w:cs="Times New Roman"/>
          <w:color w:val="000000"/>
          <w:sz w:val="24"/>
          <w:szCs w:val="24"/>
          <w:lang w:val="en-US"/>
        </w:rPr>
        <w:t>remarci</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denigratoare</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în</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privința</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convingerilor</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petiționarei</w:t>
      </w:r>
      <w:proofErr w:type="spellEnd"/>
      <w:r w:rsidRPr="00881EA1">
        <w:rPr>
          <w:rFonts w:ascii="Verdana" w:eastAsia="Times New Roman" w:hAnsi="Verdana" w:cs="Times New Roman"/>
          <w:color w:val="000000"/>
          <w:sz w:val="24"/>
          <w:szCs w:val="24"/>
          <w:lang w:val="en-US"/>
        </w:rPr>
        <w:t xml:space="preserve"> au </w:t>
      </w:r>
      <w:proofErr w:type="spellStart"/>
      <w:r w:rsidRPr="00881EA1">
        <w:rPr>
          <w:rFonts w:ascii="Verdana" w:eastAsia="Times New Roman" w:hAnsi="Verdana" w:cs="Times New Roman"/>
          <w:color w:val="000000"/>
          <w:sz w:val="24"/>
          <w:szCs w:val="24"/>
          <w:lang w:val="en-US"/>
        </w:rPr>
        <w:t>contribuit</w:t>
      </w:r>
      <w:proofErr w:type="spellEnd"/>
      <w:r w:rsidRPr="00881EA1">
        <w:rPr>
          <w:rFonts w:ascii="Verdana" w:eastAsia="Times New Roman" w:hAnsi="Verdana" w:cs="Times New Roman"/>
          <w:color w:val="000000"/>
          <w:sz w:val="24"/>
          <w:szCs w:val="24"/>
          <w:lang w:val="en-US"/>
        </w:rPr>
        <w:t xml:space="preserve"> la </w:t>
      </w:r>
      <w:proofErr w:type="spellStart"/>
      <w:r w:rsidRPr="00881EA1">
        <w:rPr>
          <w:rFonts w:ascii="Verdana" w:eastAsia="Times New Roman" w:hAnsi="Verdana" w:cs="Times New Roman"/>
          <w:color w:val="000000"/>
          <w:sz w:val="24"/>
          <w:szCs w:val="24"/>
          <w:lang w:val="en-US"/>
        </w:rPr>
        <w:t>construirea</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unei</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atmos</w:t>
      </w:r>
      <w:r>
        <w:rPr>
          <w:rFonts w:ascii="Verdana" w:eastAsia="Times New Roman" w:hAnsi="Verdana" w:cs="Times New Roman"/>
          <w:color w:val="000000"/>
          <w:sz w:val="24"/>
          <w:szCs w:val="24"/>
          <w:lang w:val="en-US"/>
        </w:rPr>
        <w:t>f</w:t>
      </w:r>
      <w:r w:rsidRPr="00881EA1">
        <w:rPr>
          <w:rFonts w:ascii="Verdana" w:eastAsia="Times New Roman" w:hAnsi="Verdana" w:cs="Times New Roman"/>
          <w:color w:val="000000"/>
          <w:sz w:val="24"/>
          <w:szCs w:val="24"/>
          <w:lang w:val="en-US"/>
        </w:rPr>
        <w:t>ere</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ostile</w:t>
      </w:r>
      <w:proofErr w:type="spellEnd"/>
      <w:r w:rsidRPr="00881EA1">
        <w:rPr>
          <w:rFonts w:ascii="Verdana" w:eastAsia="Times New Roman" w:hAnsi="Verdana" w:cs="Times New Roman"/>
          <w:color w:val="000000"/>
          <w:sz w:val="24"/>
          <w:szCs w:val="24"/>
          <w:lang w:val="en-US"/>
        </w:rPr>
        <w:t xml:space="preserve"> la </w:t>
      </w:r>
      <w:proofErr w:type="spellStart"/>
      <w:r w:rsidRPr="00881EA1">
        <w:rPr>
          <w:rFonts w:ascii="Verdana" w:eastAsia="Times New Roman" w:hAnsi="Verdana" w:cs="Times New Roman"/>
          <w:color w:val="000000"/>
          <w:sz w:val="24"/>
          <w:szCs w:val="24"/>
          <w:lang w:val="en-US"/>
        </w:rPr>
        <w:t>locul</w:t>
      </w:r>
      <w:proofErr w:type="spellEnd"/>
      <w:r w:rsidRPr="00881EA1">
        <w:rPr>
          <w:rFonts w:ascii="Verdana" w:eastAsia="Times New Roman" w:hAnsi="Verdana" w:cs="Times New Roman"/>
          <w:color w:val="000000"/>
          <w:sz w:val="24"/>
          <w:szCs w:val="24"/>
          <w:lang w:val="en-US"/>
        </w:rPr>
        <w:t xml:space="preserve"> de </w:t>
      </w:r>
      <w:proofErr w:type="spellStart"/>
      <w:r w:rsidRPr="00881EA1">
        <w:rPr>
          <w:rFonts w:ascii="Verdana" w:eastAsia="Times New Roman" w:hAnsi="Verdana" w:cs="Times New Roman"/>
          <w:color w:val="000000"/>
          <w:sz w:val="24"/>
          <w:szCs w:val="24"/>
          <w:lang w:val="en-US"/>
        </w:rPr>
        <w:t>muncă</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pentru</w:t>
      </w:r>
      <w:proofErr w:type="spellEnd"/>
      <w:r w:rsidRPr="00881EA1">
        <w:rPr>
          <w:rFonts w:ascii="Verdana" w:eastAsia="Times New Roman" w:hAnsi="Verdana" w:cs="Times New Roman"/>
          <w:color w:val="000000"/>
          <w:sz w:val="24"/>
          <w:szCs w:val="24"/>
          <w:lang w:val="en-US"/>
        </w:rPr>
        <w:t xml:space="preserve"> </w:t>
      </w:r>
      <w:proofErr w:type="spellStart"/>
      <w:r w:rsidRPr="00881EA1">
        <w:rPr>
          <w:rFonts w:ascii="Verdana" w:eastAsia="Times New Roman" w:hAnsi="Verdana" w:cs="Times New Roman"/>
          <w:color w:val="000000"/>
          <w:sz w:val="24"/>
          <w:szCs w:val="24"/>
          <w:lang w:val="en-US"/>
        </w:rPr>
        <w:t>petiționară</w:t>
      </w:r>
      <w:proofErr w:type="spellEnd"/>
      <w:r w:rsidRPr="00881EA1">
        <w:rPr>
          <w:rFonts w:ascii="Verdana" w:eastAsia="Times New Roman" w:hAnsi="Verdana" w:cs="Times New Roman"/>
          <w:color w:val="000000"/>
          <w:sz w:val="24"/>
          <w:szCs w:val="24"/>
          <w:lang w:val="en-US"/>
        </w:rPr>
        <w:t>.</w:t>
      </w:r>
    </w:p>
    <w:p w:rsidR="00881EA1" w:rsidRPr="00F24CA9" w:rsidRDefault="00881EA1" w:rsidP="00881EA1">
      <w:pPr>
        <w:jc w:val="both"/>
        <w:rPr>
          <w:rFonts w:ascii="Verdana" w:eastAsia="Times New Roman" w:hAnsi="Verdana" w:cs="Times New Roman"/>
          <w:color w:val="000000"/>
          <w:sz w:val="24"/>
          <w:szCs w:val="24"/>
          <w:lang w:val="en-US"/>
        </w:rPr>
      </w:pPr>
      <w:r>
        <w:rPr>
          <w:rFonts w:ascii="Verdana" w:eastAsia="Times New Roman" w:hAnsi="Verdana" w:cs="Times New Roman"/>
          <w:color w:val="000000"/>
          <w:sz w:val="24"/>
          <w:szCs w:val="24"/>
          <w:lang w:val="en-US"/>
        </w:rPr>
        <w:t xml:space="preserve">15. </w:t>
      </w:r>
      <w:proofErr w:type="spellStart"/>
      <w:r>
        <w:rPr>
          <w:rFonts w:ascii="Verdana" w:eastAsia="Times New Roman" w:hAnsi="Verdana" w:cs="Times New Roman"/>
          <w:color w:val="000000"/>
          <w:sz w:val="24"/>
          <w:szCs w:val="24"/>
          <w:lang w:val="en-US"/>
        </w:rPr>
        <w:t>Faptul</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că</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mediul</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ostil</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și</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inti</w:t>
      </w:r>
      <w:r w:rsidR="009E79A3">
        <w:rPr>
          <w:rFonts w:ascii="Verdana" w:eastAsia="Times New Roman" w:hAnsi="Verdana" w:cs="Times New Roman"/>
          <w:color w:val="000000"/>
          <w:sz w:val="24"/>
          <w:szCs w:val="24"/>
          <w:lang w:val="en-US"/>
        </w:rPr>
        <w:t>midant</w:t>
      </w:r>
      <w:proofErr w:type="spellEnd"/>
      <w:r w:rsidR="009E79A3">
        <w:rPr>
          <w:rFonts w:ascii="Verdana" w:eastAsia="Times New Roman" w:hAnsi="Verdana" w:cs="Times New Roman"/>
          <w:color w:val="000000"/>
          <w:sz w:val="24"/>
          <w:szCs w:val="24"/>
          <w:lang w:val="en-US"/>
        </w:rPr>
        <w:t xml:space="preserve"> a </w:t>
      </w:r>
      <w:proofErr w:type="spellStart"/>
      <w:r w:rsidR="009E79A3">
        <w:rPr>
          <w:rFonts w:ascii="Verdana" w:eastAsia="Times New Roman" w:hAnsi="Verdana" w:cs="Times New Roman"/>
          <w:color w:val="000000"/>
          <w:sz w:val="24"/>
          <w:szCs w:val="24"/>
          <w:lang w:val="en-US"/>
        </w:rPr>
        <w:t>fost</w:t>
      </w:r>
      <w:proofErr w:type="spellEnd"/>
      <w:r w:rsidR="009E79A3">
        <w:rPr>
          <w:rFonts w:ascii="Verdana" w:eastAsia="Times New Roman" w:hAnsi="Verdana" w:cs="Times New Roman"/>
          <w:color w:val="000000"/>
          <w:sz w:val="24"/>
          <w:szCs w:val="24"/>
          <w:lang w:val="en-US"/>
        </w:rPr>
        <w:t xml:space="preserve"> </w:t>
      </w:r>
      <w:proofErr w:type="spellStart"/>
      <w:r w:rsidR="009E79A3">
        <w:rPr>
          <w:rFonts w:ascii="Verdana" w:eastAsia="Times New Roman" w:hAnsi="Verdana" w:cs="Times New Roman"/>
          <w:color w:val="000000"/>
          <w:sz w:val="24"/>
          <w:szCs w:val="24"/>
          <w:lang w:val="en-US"/>
        </w:rPr>
        <w:t>creat</w:t>
      </w:r>
      <w:proofErr w:type="spellEnd"/>
      <w:r w:rsidR="009E79A3">
        <w:rPr>
          <w:rFonts w:ascii="Verdana" w:eastAsia="Times New Roman" w:hAnsi="Verdana" w:cs="Times New Roman"/>
          <w:color w:val="000000"/>
          <w:sz w:val="24"/>
          <w:szCs w:val="24"/>
          <w:lang w:val="en-US"/>
        </w:rPr>
        <w:t xml:space="preserve"> </w:t>
      </w:r>
      <w:proofErr w:type="spellStart"/>
      <w:r w:rsidR="009E79A3">
        <w:rPr>
          <w:rFonts w:ascii="Verdana" w:eastAsia="Times New Roman" w:hAnsi="Verdana" w:cs="Times New Roman"/>
          <w:color w:val="000000"/>
          <w:sz w:val="24"/>
          <w:szCs w:val="24"/>
          <w:lang w:val="en-US"/>
        </w:rPr>
        <w:t>avînd</w:t>
      </w:r>
      <w:proofErr w:type="spellEnd"/>
      <w:r w:rsidR="009E79A3">
        <w:rPr>
          <w:rFonts w:ascii="Verdana" w:eastAsia="Times New Roman" w:hAnsi="Verdana" w:cs="Times New Roman"/>
          <w:color w:val="000000"/>
          <w:sz w:val="24"/>
          <w:szCs w:val="24"/>
          <w:lang w:val="en-US"/>
        </w:rPr>
        <w:t xml:space="preserve"> la </w:t>
      </w:r>
      <w:proofErr w:type="spellStart"/>
      <w:r w:rsidR="009E79A3">
        <w:rPr>
          <w:rFonts w:ascii="Verdana" w:eastAsia="Times New Roman" w:hAnsi="Verdana" w:cs="Times New Roman"/>
          <w:color w:val="000000"/>
          <w:sz w:val="24"/>
          <w:szCs w:val="24"/>
          <w:lang w:val="en-US"/>
        </w:rPr>
        <w:t>baz</w:t>
      </w:r>
      <w:r>
        <w:rPr>
          <w:rFonts w:ascii="Verdana" w:eastAsia="Times New Roman" w:hAnsi="Verdana" w:cs="Times New Roman"/>
          <w:color w:val="000000"/>
          <w:sz w:val="24"/>
          <w:szCs w:val="24"/>
          <w:lang w:val="en-US"/>
        </w:rPr>
        <w:t>ă</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convingerile</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reclamantei</w:t>
      </w:r>
      <w:proofErr w:type="spellEnd"/>
      <w:r>
        <w:rPr>
          <w:rFonts w:ascii="Verdana" w:eastAsia="Times New Roman" w:hAnsi="Verdana" w:cs="Times New Roman"/>
          <w:color w:val="000000"/>
          <w:sz w:val="24"/>
          <w:szCs w:val="24"/>
          <w:lang w:val="en-US"/>
        </w:rPr>
        <w:t xml:space="preserve"> se </w:t>
      </w:r>
      <w:proofErr w:type="spellStart"/>
      <w:r>
        <w:rPr>
          <w:rFonts w:ascii="Verdana" w:eastAsia="Times New Roman" w:hAnsi="Verdana" w:cs="Times New Roman"/>
          <w:color w:val="000000"/>
          <w:sz w:val="24"/>
          <w:szCs w:val="24"/>
          <w:lang w:val="en-US"/>
        </w:rPr>
        <w:t>demonstrează</w:t>
      </w:r>
      <w:proofErr w:type="spellEnd"/>
      <w:r>
        <w:rPr>
          <w:rFonts w:ascii="Verdana" w:eastAsia="Times New Roman" w:hAnsi="Verdana" w:cs="Times New Roman"/>
          <w:color w:val="000000"/>
          <w:sz w:val="24"/>
          <w:szCs w:val="24"/>
          <w:lang w:val="en-US"/>
        </w:rPr>
        <w:t xml:space="preserve"> indirect </w:t>
      </w:r>
      <w:proofErr w:type="spellStart"/>
      <w:r>
        <w:rPr>
          <w:rFonts w:ascii="Verdana" w:eastAsia="Times New Roman" w:hAnsi="Verdana" w:cs="Times New Roman"/>
          <w:color w:val="000000"/>
          <w:sz w:val="24"/>
          <w:szCs w:val="24"/>
          <w:lang w:val="en-US"/>
        </w:rPr>
        <w:t>prin</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remarcile</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ofensatoare</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în</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adresa</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Falun</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Dafa</w:t>
      </w:r>
      <w:proofErr w:type="spellEnd"/>
      <w:r>
        <w:rPr>
          <w:rFonts w:ascii="Verdana" w:eastAsia="Times New Roman" w:hAnsi="Verdana" w:cs="Times New Roman"/>
          <w:color w:val="000000"/>
          <w:sz w:val="24"/>
          <w:szCs w:val="24"/>
          <w:lang w:val="en-US"/>
        </w:rPr>
        <w:t xml:space="preserve"> ale </w:t>
      </w:r>
      <w:proofErr w:type="spellStart"/>
      <w:r>
        <w:rPr>
          <w:rFonts w:ascii="Verdana" w:eastAsia="Times New Roman" w:hAnsi="Verdana" w:cs="Times New Roman"/>
          <w:color w:val="000000"/>
          <w:sz w:val="24"/>
          <w:szCs w:val="24"/>
          <w:lang w:val="en-US"/>
        </w:rPr>
        <w:t>președintei</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instanței</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dar</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și</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prin</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faptul</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că</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în</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cadrul</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cercetarii</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efectuate</w:t>
      </w:r>
      <w:proofErr w:type="spellEnd"/>
      <w:r>
        <w:rPr>
          <w:rFonts w:ascii="Verdana" w:eastAsia="Times New Roman" w:hAnsi="Verdana" w:cs="Times New Roman"/>
          <w:color w:val="000000"/>
          <w:sz w:val="24"/>
          <w:szCs w:val="24"/>
          <w:lang w:val="en-US"/>
        </w:rPr>
        <w:t xml:space="preserve"> de </w:t>
      </w:r>
      <w:proofErr w:type="spellStart"/>
      <w:r>
        <w:rPr>
          <w:rFonts w:ascii="Verdana" w:eastAsia="Times New Roman" w:hAnsi="Verdana" w:cs="Times New Roman"/>
          <w:color w:val="000000"/>
          <w:sz w:val="24"/>
          <w:szCs w:val="24"/>
          <w:lang w:val="en-US"/>
        </w:rPr>
        <w:t>Inspecția</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judiciară</w:t>
      </w:r>
      <w:proofErr w:type="spellEnd"/>
      <w:r>
        <w:rPr>
          <w:rFonts w:ascii="Verdana" w:eastAsia="Times New Roman" w:hAnsi="Verdana" w:cs="Times New Roman"/>
          <w:color w:val="000000"/>
          <w:sz w:val="24"/>
          <w:szCs w:val="24"/>
          <w:lang w:val="en-US"/>
        </w:rPr>
        <w:t xml:space="preserve">, </w:t>
      </w:r>
      <w:proofErr w:type="spellStart"/>
      <w:r>
        <w:rPr>
          <w:rFonts w:ascii="Verdana" w:eastAsia="Times New Roman" w:hAnsi="Verdana" w:cs="Times New Roman"/>
          <w:color w:val="000000"/>
          <w:sz w:val="24"/>
          <w:szCs w:val="24"/>
          <w:lang w:val="en-US"/>
        </w:rPr>
        <w:t>maj</w:t>
      </w:r>
      <w:r w:rsidR="00F24CA9">
        <w:rPr>
          <w:rFonts w:ascii="Verdana" w:eastAsia="Times New Roman" w:hAnsi="Verdana" w:cs="Times New Roman"/>
          <w:color w:val="000000"/>
          <w:sz w:val="24"/>
          <w:szCs w:val="24"/>
          <w:lang w:val="en-US"/>
        </w:rPr>
        <w:t>oritatea</w:t>
      </w:r>
      <w:proofErr w:type="spellEnd"/>
      <w:r w:rsidR="00F24CA9">
        <w:rPr>
          <w:rFonts w:ascii="Verdana" w:eastAsia="Times New Roman" w:hAnsi="Verdana" w:cs="Times New Roman"/>
          <w:color w:val="000000"/>
          <w:sz w:val="24"/>
          <w:szCs w:val="24"/>
          <w:lang w:val="en-US"/>
        </w:rPr>
        <w:t xml:space="preserve"> </w:t>
      </w:r>
      <w:proofErr w:type="spellStart"/>
      <w:r w:rsidR="00F24CA9">
        <w:rPr>
          <w:rFonts w:ascii="Verdana" w:eastAsia="Times New Roman" w:hAnsi="Verdana" w:cs="Times New Roman"/>
          <w:color w:val="000000"/>
          <w:sz w:val="24"/>
          <w:szCs w:val="24"/>
          <w:lang w:val="en-US"/>
        </w:rPr>
        <w:t>întrebărilor</w:t>
      </w:r>
      <w:proofErr w:type="spellEnd"/>
      <w:r w:rsidR="00F24CA9">
        <w:rPr>
          <w:rFonts w:ascii="Verdana" w:eastAsia="Times New Roman" w:hAnsi="Verdana" w:cs="Times New Roman"/>
          <w:color w:val="000000"/>
          <w:sz w:val="24"/>
          <w:szCs w:val="24"/>
          <w:lang w:val="en-US"/>
        </w:rPr>
        <w:t xml:space="preserve"> </w:t>
      </w:r>
      <w:proofErr w:type="spellStart"/>
      <w:r w:rsidR="00F24CA9">
        <w:rPr>
          <w:rFonts w:ascii="Verdana" w:eastAsia="Times New Roman" w:hAnsi="Verdana" w:cs="Times New Roman"/>
          <w:color w:val="000000"/>
          <w:sz w:val="24"/>
          <w:szCs w:val="24"/>
          <w:lang w:val="en-US"/>
        </w:rPr>
        <w:t>către</w:t>
      </w:r>
      <w:proofErr w:type="spellEnd"/>
      <w:r w:rsidR="00F24CA9">
        <w:rPr>
          <w:rFonts w:ascii="Verdana" w:eastAsia="Times New Roman" w:hAnsi="Verdana" w:cs="Times New Roman"/>
          <w:color w:val="000000"/>
          <w:sz w:val="24"/>
          <w:szCs w:val="24"/>
          <w:lang w:val="en-US"/>
        </w:rPr>
        <w:t xml:space="preserve"> </w:t>
      </w:r>
      <w:proofErr w:type="spellStart"/>
      <w:r w:rsidR="00F24CA9">
        <w:rPr>
          <w:rFonts w:ascii="Verdana" w:eastAsia="Times New Roman" w:hAnsi="Verdana" w:cs="Times New Roman"/>
          <w:color w:val="000000"/>
          <w:sz w:val="24"/>
          <w:szCs w:val="24"/>
          <w:lang w:val="en-US"/>
        </w:rPr>
        <w:t>dna</w:t>
      </w:r>
      <w:proofErr w:type="spellEnd"/>
      <w:r>
        <w:rPr>
          <w:rFonts w:ascii="Verdana" w:eastAsia="Times New Roman" w:hAnsi="Verdana" w:cs="Times New Roman"/>
          <w:color w:val="000000"/>
          <w:sz w:val="24"/>
          <w:szCs w:val="24"/>
          <w:lang w:val="en-US"/>
        </w:rPr>
        <w:t xml:space="preserve"> </w:t>
      </w:r>
      <w:proofErr w:type="spellStart"/>
      <w:r w:rsidRPr="00F24CA9">
        <w:rPr>
          <w:rFonts w:ascii="Verdana" w:eastAsia="Times New Roman" w:hAnsi="Verdana" w:cs="Times New Roman"/>
          <w:color w:val="000000"/>
          <w:sz w:val="24"/>
          <w:szCs w:val="24"/>
          <w:lang w:val="en-US"/>
        </w:rPr>
        <w:t>Chiriac</w:t>
      </w:r>
      <w:proofErr w:type="spellEnd"/>
      <w:r w:rsidRPr="00F24CA9">
        <w:rPr>
          <w:rFonts w:ascii="Verdana" w:eastAsia="Times New Roman" w:hAnsi="Verdana" w:cs="Times New Roman"/>
          <w:color w:val="000000"/>
          <w:sz w:val="24"/>
          <w:szCs w:val="24"/>
          <w:lang w:val="en-US"/>
        </w:rPr>
        <w:t xml:space="preserve"> au </w:t>
      </w:r>
      <w:proofErr w:type="spellStart"/>
      <w:r w:rsidRPr="00F24CA9">
        <w:rPr>
          <w:rFonts w:ascii="Verdana" w:eastAsia="Times New Roman" w:hAnsi="Verdana" w:cs="Times New Roman"/>
          <w:color w:val="000000"/>
          <w:sz w:val="24"/>
          <w:szCs w:val="24"/>
          <w:lang w:val="en-US"/>
        </w:rPr>
        <w:t>fost</w:t>
      </w:r>
      <w:proofErr w:type="spellEnd"/>
      <w:r w:rsidRPr="00F24CA9">
        <w:rPr>
          <w:rFonts w:ascii="Verdana" w:eastAsia="Times New Roman" w:hAnsi="Verdana" w:cs="Times New Roman"/>
          <w:color w:val="000000"/>
          <w:sz w:val="24"/>
          <w:szCs w:val="24"/>
          <w:lang w:val="en-US"/>
        </w:rPr>
        <w:t xml:space="preserve"> orientate </w:t>
      </w:r>
      <w:proofErr w:type="spellStart"/>
      <w:r w:rsidRPr="00F24CA9">
        <w:rPr>
          <w:rFonts w:ascii="Verdana" w:eastAsia="Times New Roman" w:hAnsi="Verdana" w:cs="Times New Roman"/>
          <w:color w:val="000000"/>
          <w:sz w:val="24"/>
          <w:szCs w:val="24"/>
          <w:lang w:val="en-US"/>
        </w:rPr>
        <w:t>spre</w:t>
      </w:r>
      <w:proofErr w:type="spellEnd"/>
      <w:r w:rsidRPr="00F24CA9">
        <w:rPr>
          <w:rFonts w:ascii="Verdana" w:eastAsia="Times New Roman" w:hAnsi="Verdana" w:cs="Times New Roman"/>
          <w:color w:val="000000"/>
          <w:sz w:val="24"/>
          <w:szCs w:val="24"/>
          <w:lang w:val="en-US"/>
        </w:rPr>
        <w:t xml:space="preserve"> </w:t>
      </w:r>
      <w:proofErr w:type="spellStart"/>
      <w:r w:rsidRPr="00F24CA9">
        <w:rPr>
          <w:rFonts w:ascii="Verdana" w:eastAsia="Times New Roman" w:hAnsi="Verdana" w:cs="Times New Roman"/>
          <w:color w:val="000000"/>
          <w:sz w:val="24"/>
          <w:szCs w:val="24"/>
          <w:lang w:val="en-US"/>
        </w:rPr>
        <w:t>convingerile</w:t>
      </w:r>
      <w:proofErr w:type="spellEnd"/>
      <w:r w:rsidRPr="00F24CA9">
        <w:rPr>
          <w:rFonts w:ascii="Verdana" w:eastAsia="Times New Roman" w:hAnsi="Verdana" w:cs="Times New Roman"/>
          <w:color w:val="000000"/>
          <w:sz w:val="24"/>
          <w:szCs w:val="24"/>
          <w:lang w:val="en-US"/>
        </w:rPr>
        <w:t xml:space="preserve"> </w:t>
      </w:r>
      <w:proofErr w:type="spellStart"/>
      <w:r w:rsidRPr="00F24CA9">
        <w:rPr>
          <w:rFonts w:ascii="Verdana" w:eastAsia="Times New Roman" w:hAnsi="Verdana" w:cs="Times New Roman"/>
          <w:color w:val="000000"/>
          <w:sz w:val="24"/>
          <w:szCs w:val="24"/>
          <w:lang w:val="en-US"/>
        </w:rPr>
        <w:t>acesteia</w:t>
      </w:r>
      <w:proofErr w:type="spellEnd"/>
      <w:r w:rsidRPr="00F24CA9">
        <w:rPr>
          <w:rFonts w:ascii="Verdana" w:eastAsia="Times New Roman" w:hAnsi="Verdana" w:cs="Times New Roman"/>
          <w:color w:val="000000"/>
          <w:sz w:val="24"/>
          <w:szCs w:val="24"/>
          <w:lang w:val="en-US"/>
        </w:rPr>
        <w:t xml:space="preserve">. </w:t>
      </w:r>
    </w:p>
    <w:p w:rsidR="00F24CA9" w:rsidRDefault="00F24CA9" w:rsidP="00F24CA9">
      <w:pPr>
        <w:tabs>
          <w:tab w:val="left" w:pos="6690"/>
        </w:tabs>
        <w:rPr>
          <w:rFonts w:ascii="Verdana" w:eastAsia="Times New Roman" w:hAnsi="Verdana" w:cs="Times New Roman"/>
          <w:i/>
          <w:color w:val="000000"/>
          <w:sz w:val="24"/>
          <w:szCs w:val="24"/>
          <w:lang w:val="fr-CA"/>
        </w:rPr>
      </w:pPr>
    </w:p>
    <w:p w:rsidR="00F24CA9" w:rsidRPr="00F24CA9" w:rsidRDefault="00F24CA9" w:rsidP="00F24CA9">
      <w:pPr>
        <w:tabs>
          <w:tab w:val="left" w:pos="6690"/>
        </w:tabs>
        <w:rPr>
          <w:rFonts w:ascii="Verdana" w:eastAsia="Times New Roman" w:hAnsi="Verdana" w:cs="Times New Roman"/>
          <w:i/>
          <w:color w:val="000000"/>
          <w:sz w:val="24"/>
          <w:szCs w:val="24"/>
          <w:lang w:val="fr-CA"/>
        </w:rPr>
      </w:pPr>
      <w:proofErr w:type="spellStart"/>
      <w:r w:rsidRPr="00F24CA9">
        <w:rPr>
          <w:rFonts w:ascii="Verdana" w:eastAsia="Times New Roman" w:hAnsi="Verdana" w:cs="Times New Roman"/>
          <w:i/>
          <w:color w:val="000000"/>
          <w:sz w:val="24"/>
          <w:szCs w:val="24"/>
          <w:lang w:val="fr-CA"/>
        </w:rPr>
        <w:t>Documentul</w:t>
      </w:r>
      <w:proofErr w:type="spellEnd"/>
      <w:r w:rsidRPr="00F24CA9">
        <w:rPr>
          <w:rFonts w:ascii="Verdana" w:eastAsia="Times New Roman" w:hAnsi="Verdana" w:cs="Times New Roman"/>
          <w:i/>
          <w:color w:val="000000"/>
          <w:sz w:val="24"/>
          <w:szCs w:val="24"/>
          <w:lang w:val="fr-CA"/>
        </w:rPr>
        <w:t xml:space="preserve"> este </w:t>
      </w:r>
      <w:proofErr w:type="spellStart"/>
      <w:r w:rsidRPr="00F24CA9">
        <w:rPr>
          <w:rFonts w:ascii="Verdana" w:eastAsia="Times New Roman" w:hAnsi="Verdana" w:cs="Times New Roman"/>
          <w:i/>
          <w:color w:val="000000"/>
          <w:sz w:val="24"/>
          <w:szCs w:val="24"/>
          <w:lang w:val="fr-CA"/>
        </w:rPr>
        <w:t>pregătit</w:t>
      </w:r>
      <w:proofErr w:type="spellEnd"/>
      <w:r w:rsidRPr="00F24CA9">
        <w:rPr>
          <w:rFonts w:ascii="Verdana" w:eastAsia="Times New Roman" w:hAnsi="Verdana" w:cs="Times New Roman"/>
          <w:i/>
          <w:color w:val="000000"/>
          <w:sz w:val="24"/>
          <w:szCs w:val="24"/>
          <w:lang w:val="fr-CA"/>
        </w:rPr>
        <w:t xml:space="preserve"> </w:t>
      </w:r>
      <w:proofErr w:type="spellStart"/>
      <w:r w:rsidRPr="00F24CA9">
        <w:rPr>
          <w:rFonts w:ascii="Verdana" w:eastAsia="Times New Roman" w:hAnsi="Verdana" w:cs="Times New Roman"/>
          <w:i/>
          <w:color w:val="000000"/>
          <w:sz w:val="24"/>
          <w:szCs w:val="24"/>
          <w:lang w:val="fr-CA"/>
        </w:rPr>
        <w:t>prin</w:t>
      </w:r>
      <w:proofErr w:type="spellEnd"/>
      <w:r w:rsidRPr="00F24CA9">
        <w:rPr>
          <w:rFonts w:ascii="Verdana" w:eastAsia="Times New Roman" w:hAnsi="Verdana" w:cs="Times New Roman"/>
          <w:i/>
          <w:color w:val="000000"/>
          <w:sz w:val="24"/>
          <w:szCs w:val="24"/>
          <w:lang w:val="fr-CA"/>
        </w:rPr>
        <w:t xml:space="preserve"> </w:t>
      </w:r>
      <w:proofErr w:type="spellStart"/>
      <w:r w:rsidRPr="00F24CA9">
        <w:rPr>
          <w:rFonts w:ascii="Verdana" w:eastAsia="Times New Roman" w:hAnsi="Verdana" w:cs="Times New Roman"/>
          <w:i/>
          <w:color w:val="000000"/>
          <w:sz w:val="24"/>
          <w:szCs w:val="24"/>
          <w:lang w:val="fr-CA"/>
        </w:rPr>
        <w:t>efortul</w:t>
      </w:r>
      <w:proofErr w:type="spellEnd"/>
      <w:r w:rsidRPr="00F24CA9">
        <w:rPr>
          <w:rFonts w:ascii="Verdana" w:eastAsia="Times New Roman" w:hAnsi="Verdana" w:cs="Times New Roman"/>
          <w:i/>
          <w:color w:val="000000"/>
          <w:sz w:val="24"/>
          <w:szCs w:val="24"/>
          <w:lang w:val="fr-CA"/>
        </w:rPr>
        <w:t xml:space="preserve"> </w:t>
      </w:r>
      <w:proofErr w:type="spellStart"/>
      <w:r w:rsidRPr="00F24CA9">
        <w:rPr>
          <w:rFonts w:ascii="Verdana" w:eastAsia="Times New Roman" w:hAnsi="Verdana" w:cs="Times New Roman"/>
          <w:i/>
          <w:color w:val="000000"/>
          <w:sz w:val="24"/>
          <w:szCs w:val="24"/>
          <w:lang w:val="fr-CA"/>
        </w:rPr>
        <w:t>consultantului</w:t>
      </w:r>
      <w:proofErr w:type="spellEnd"/>
      <w:r w:rsidRPr="00F24CA9">
        <w:rPr>
          <w:rFonts w:ascii="Verdana" w:eastAsia="Times New Roman" w:hAnsi="Verdana" w:cs="Times New Roman"/>
          <w:i/>
          <w:color w:val="000000"/>
          <w:sz w:val="24"/>
          <w:szCs w:val="24"/>
          <w:lang w:val="fr-CA"/>
        </w:rPr>
        <w:t xml:space="preserve"> </w:t>
      </w:r>
      <w:r>
        <w:rPr>
          <w:rFonts w:ascii="Verdana" w:eastAsia="Times New Roman" w:hAnsi="Verdana" w:cs="Times New Roman"/>
          <w:i/>
          <w:color w:val="000000"/>
          <w:sz w:val="24"/>
          <w:szCs w:val="24"/>
          <w:lang w:val="fr-CA"/>
        </w:rPr>
        <w:t>naț</w:t>
      </w:r>
      <w:proofErr w:type="spellStart"/>
      <w:r w:rsidRPr="00F24CA9">
        <w:rPr>
          <w:rFonts w:ascii="Verdana" w:eastAsia="Times New Roman" w:hAnsi="Verdana" w:cs="Times New Roman"/>
          <w:i/>
          <w:color w:val="000000"/>
          <w:sz w:val="24"/>
          <w:szCs w:val="24"/>
          <w:lang w:val="fr-CA"/>
        </w:rPr>
        <w:t>ional</w:t>
      </w:r>
      <w:proofErr w:type="spellEnd"/>
      <w:r w:rsidRPr="00F24CA9">
        <w:rPr>
          <w:rFonts w:ascii="Verdana" w:eastAsia="Times New Roman" w:hAnsi="Verdana" w:cs="Times New Roman"/>
          <w:i/>
          <w:color w:val="000000"/>
          <w:sz w:val="24"/>
          <w:szCs w:val="24"/>
          <w:lang w:val="fr-CA"/>
        </w:rPr>
        <w:t xml:space="preserve"> </w:t>
      </w:r>
      <w:proofErr w:type="spellStart"/>
      <w:r w:rsidRPr="00F24CA9">
        <w:rPr>
          <w:rFonts w:ascii="Verdana" w:eastAsia="Times New Roman" w:hAnsi="Verdana" w:cs="Times New Roman"/>
          <w:i/>
          <w:color w:val="000000"/>
          <w:sz w:val="24"/>
          <w:szCs w:val="24"/>
          <w:lang w:val="fr-CA"/>
        </w:rPr>
        <w:t>Olesea</w:t>
      </w:r>
      <w:proofErr w:type="spellEnd"/>
      <w:r w:rsidRPr="00F24CA9">
        <w:rPr>
          <w:rFonts w:ascii="Verdana" w:eastAsia="Times New Roman" w:hAnsi="Verdana" w:cs="Times New Roman"/>
          <w:i/>
          <w:color w:val="000000"/>
          <w:sz w:val="24"/>
          <w:szCs w:val="24"/>
          <w:lang w:val="fr-CA"/>
        </w:rPr>
        <w:t xml:space="preserve"> Perean.</w:t>
      </w:r>
    </w:p>
    <w:p w:rsidR="00F24CA9" w:rsidRPr="00F24CA9" w:rsidRDefault="00F24CA9" w:rsidP="00F24CA9">
      <w:pPr>
        <w:tabs>
          <w:tab w:val="left" w:pos="6690"/>
        </w:tabs>
        <w:rPr>
          <w:rFonts w:ascii="Verdana" w:hAnsi="Verdana"/>
          <w:sz w:val="24"/>
          <w:szCs w:val="24"/>
          <w:lang w:val="fr-CA"/>
        </w:rPr>
      </w:pPr>
    </w:p>
    <w:p w:rsidR="00F24CA9" w:rsidRPr="00F24CA9" w:rsidRDefault="00F24CA9" w:rsidP="00F24CA9">
      <w:pPr>
        <w:tabs>
          <w:tab w:val="left" w:pos="6690"/>
        </w:tabs>
        <w:rPr>
          <w:rFonts w:ascii="Verdana" w:hAnsi="Verdana"/>
          <w:sz w:val="24"/>
          <w:szCs w:val="24"/>
          <w:lang w:val="fr-CA"/>
        </w:rPr>
      </w:pPr>
      <w:r w:rsidRPr="00F24CA9">
        <w:rPr>
          <w:rFonts w:ascii="Verdana" w:hAnsi="Verdana"/>
          <w:sz w:val="24"/>
          <w:szCs w:val="24"/>
          <w:lang w:val="fr-CA"/>
        </w:rPr>
        <w:t xml:space="preserve">06 </w:t>
      </w:r>
      <w:proofErr w:type="spellStart"/>
      <w:r w:rsidRPr="00F24CA9">
        <w:rPr>
          <w:rFonts w:ascii="Verdana" w:hAnsi="Verdana"/>
          <w:sz w:val="24"/>
          <w:szCs w:val="24"/>
          <w:lang w:val="fr-CA"/>
        </w:rPr>
        <w:t>iunie</w:t>
      </w:r>
      <w:proofErr w:type="spellEnd"/>
      <w:r w:rsidRPr="00F24CA9">
        <w:rPr>
          <w:rFonts w:ascii="Verdana" w:hAnsi="Verdana"/>
          <w:sz w:val="24"/>
          <w:szCs w:val="24"/>
          <w:lang w:val="fr-CA"/>
        </w:rPr>
        <w:t xml:space="preserve"> </w:t>
      </w:r>
      <w:r w:rsidR="009E79A3" w:rsidRPr="00F24CA9">
        <w:rPr>
          <w:rFonts w:ascii="Verdana" w:hAnsi="Verdana"/>
          <w:sz w:val="24"/>
          <w:szCs w:val="24"/>
          <w:lang w:val="fr-CA"/>
        </w:rPr>
        <w:t>2016</w:t>
      </w:r>
      <w:r w:rsidR="009E79A3" w:rsidRPr="00F24CA9">
        <w:rPr>
          <w:rFonts w:ascii="Verdana" w:hAnsi="Verdana"/>
          <w:sz w:val="24"/>
          <w:szCs w:val="24"/>
          <w:lang w:val="fr-CA"/>
        </w:rPr>
        <w:tab/>
      </w:r>
    </w:p>
    <w:p w:rsidR="00DA6011" w:rsidRDefault="009E79A3" w:rsidP="009E79A3">
      <w:pPr>
        <w:tabs>
          <w:tab w:val="left" w:pos="6690"/>
        </w:tabs>
        <w:jc w:val="right"/>
        <w:rPr>
          <w:rFonts w:ascii="Verdana" w:hAnsi="Verdana"/>
          <w:sz w:val="24"/>
          <w:szCs w:val="24"/>
          <w:lang w:val="en-US"/>
        </w:rPr>
      </w:pPr>
      <w:r>
        <w:rPr>
          <w:rFonts w:ascii="Verdana" w:hAnsi="Verdana"/>
          <w:sz w:val="24"/>
          <w:szCs w:val="24"/>
          <w:lang w:val="en-US"/>
        </w:rPr>
        <w:t>Veaceslav Balan</w:t>
      </w:r>
      <w:r w:rsidR="00F24CA9">
        <w:rPr>
          <w:rFonts w:ascii="Verdana" w:hAnsi="Verdana"/>
          <w:sz w:val="24"/>
          <w:szCs w:val="24"/>
          <w:lang w:val="en-US"/>
        </w:rPr>
        <w:t>,</w:t>
      </w:r>
    </w:p>
    <w:p w:rsidR="009E79A3" w:rsidRDefault="009E79A3" w:rsidP="009E79A3">
      <w:pPr>
        <w:tabs>
          <w:tab w:val="left" w:pos="6690"/>
        </w:tabs>
        <w:jc w:val="right"/>
        <w:rPr>
          <w:rFonts w:ascii="Verdana" w:hAnsi="Verdana"/>
          <w:sz w:val="24"/>
          <w:szCs w:val="24"/>
          <w:lang w:val="ro-RO"/>
        </w:rPr>
      </w:pPr>
      <w:r>
        <w:rPr>
          <w:rFonts w:ascii="Verdana" w:hAnsi="Verdana"/>
          <w:sz w:val="24"/>
          <w:szCs w:val="24"/>
          <w:lang w:val="en-US"/>
        </w:rPr>
        <w:t xml:space="preserve">                                                                   </w:t>
      </w:r>
      <w:proofErr w:type="spellStart"/>
      <w:r>
        <w:rPr>
          <w:rFonts w:ascii="Verdana" w:hAnsi="Verdana"/>
          <w:sz w:val="24"/>
          <w:szCs w:val="24"/>
          <w:lang w:val="en-US"/>
        </w:rPr>
        <w:t>Coordonator</w:t>
      </w:r>
      <w:proofErr w:type="spellEnd"/>
      <w:r>
        <w:rPr>
          <w:rFonts w:ascii="Verdana" w:hAnsi="Verdana"/>
          <w:sz w:val="24"/>
          <w:szCs w:val="24"/>
          <w:lang w:val="en-US"/>
        </w:rPr>
        <w:t xml:space="preserve"> Na</w:t>
      </w:r>
      <w:r>
        <w:rPr>
          <w:rFonts w:ascii="Verdana" w:hAnsi="Verdana"/>
          <w:sz w:val="24"/>
          <w:szCs w:val="24"/>
          <w:lang w:val="ro-RO"/>
        </w:rPr>
        <w:t>țional,</w:t>
      </w:r>
    </w:p>
    <w:p w:rsidR="009E79A3" w:rsidRDefault="009E79A3" w:rsidP="009E79A3">
      <w:pPr>
        <w:tabs>
          <w:tab w:val="left" w:pos="6690"/>
        </w:tabs>
        <w:jc w:val="right"/>
        <w:rPr>
          <w:rFonts w:ascii="Verdana" w:hAnsi="Verdana"/>
          <w:sz w:val="24"/>
          <w:szCs w:val="24"/>
          <w:lang w:val="ro-RO"/>
        </w:rPr>
      </w:pPr>
      <w:r>
        <w:rPr>
          <w:rFonts w:ascii="Verdana" w:hAnsi="Verdana"/>
          <w:sz w:val="24"/>
          <w:szCs w:val="24"/>
          <w:lang w:val="ro-RO"/>
        </w:rPr>
        <w:t>Oficiul ONU pentru Drepturile Omului (OHCHR)</w:t>
      </w:r>
      <w:r w:rsidR="00F24CA9">
        <w:rPr>
          <w:rFonts w:ascii="Verdana" w:hAnsi="Verdana"/>
          <w:sz w:val="24"/>
          <w:szCs w:val="24"/>
          <w:lang w:val="ro-RO"/>
        </w:rPr>
        <w:t xml:space="preserve"> în Moldova</w:t>
      </w:r>
    </w:p>
    <w:p w:rsidR="00F24CA9" w:rsidRPr="009E79A3" w:rsidRDefault="00F24CA9" w:rsidP="00F24CA9">
      <w:pPr>
        <w:tabs>
          <w:tab w:val="left" w:pos="6690"/>
        </w:tabs>
        <w:rPr>
          <w:rFonts w:ascii="Verdana" w:hAnsi="Verdana"/>
          <w:sz w:val="24"/>
          <w:szCs w:val="24"/>
          <w:lang w:val="ro-RO"/>
        </w:rPr>
      </w:pPr>
    </w:p>
    <w:sectPr w:rsidR="00F24CA9" w:rsidRPr="009E79A3" w:rsidSect="00F24CA9">
      <w:headerReference w:type="default" r:id="rId6"/>
      <w:pgSz w:w="12240" w:h="15840"/>
      <w:pgMar w:top="1440" w:right="1440"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B64" w:rsidRDefault="00960B64" w:rsidP="00881EA1">
      <w:pPr>
        <w:spacing w:after="0" w:line="240" w:lineRule="auto"/>
      </w:pPr>
      <w:r>
        <w:separator/>
      </w:r>
    </w:p>
  </w:endnote>
  <w:endnote w:type="continuationSeparator" w:id="0">
    <w:p w:rsidR="00960B64" w:rsidRDefault="00960B64" w:rsidP="00881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B64" w:rsidRDefault="00960B64" w:rsidP="00881EA1">
      <w:pPr>
        <w:spacing w:after="0" w:line="240" w:lineRule="auto"/>
      </w:pPr>
      <w:r>
        <w:separator/>
      </w:r>
    </w:p>
  </w:footnote>
  <w:footnote w:type="continuationSeparator" w:id="0">
    <w:p w:rsidR="00960B64" w:rsidRDefault="00960B64" w:rsidP="00881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A1" w:rsidRDefault="008071DB" w:rsidP="00881EA1">
    <w:pPr>
      <w:pStyle w:val="Header"/>
      <w:jc w:val="center"/>
    </w:pPr>
    <w:r w:rsidRPr="004132CB">
      <w:rPr>
        <w:rFonts w:ascii="Times New Roman" w:hAnsi="Times New Roman"/>
        <w:noProof/>
        <w:sz w:val="24"/>
        <w:szCs w:val="24"/>
        <w:lang w:val="en-US"/>
      </w:rPr>
      <w:drawing>
        <wp:inline distT="0" distB="0" distL="0" distR="0">
          <wp:extent cx="2276475" cy="10474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_logo_EN_blue_SMALL_72dpi.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01304" cy="110489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81EA1"/>
    <w:rsid w:val="000642D0"/>
    <w:rsid w:val="00353646"/>
    <w:rsid w:val="004A1410"/>
    <w:rsid w:val="0050189B"/>
    <w:rsid w:val="006510BD"/>
    <w:rsid w:val="006E1F2E"/>
    <w:rsid w:val="008071DB"/>
    <w:rsid w:val="00881EA1"/>
    <w:rsid w:val="008E1E7E"/>
    <w:rsid w:val="00960B64"/>
    <w:rsid w:val="009E79A3"/>
    <w:rsid w:val="00A006C5"/>
    <w:rsid w:val="00A6432F"/>
    <w:rsid w:val="00AE7B6D"/>
    <w:rsid w:val="00D8552F"/>
    <w:rsid w:val="00DA6011"/>
    <w:rsid w:val="00E45AB4"/>
    <w:rsid w:val="00EB5633"/>
    <w:rsid w:val="00F24CA9"/>
    <w:rsid w:val="00FD6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D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881EA1"/>
    <w:rPr>
      <w:color w:val="0000FF"/>
      <w:u w:val="single"/>
    </w:rPr>
  </w:style>
  <w:style w:type="paragraph" w:customStyle="1" w:styleId="FootnoteText1">
    <w:name w:val="Footnote Text1"/>
    <w:basedOn w:val="Normal"/>
    <w:next w:val="FootnoteText"/>
    <w:link w:val="FootnoteTextChar"/>
    <w:uiPriority w:val="99"/>
    <w:semiHidden/>
    <w:unhideWhenUsed/>
    <w:rsid w:val="00881EA1"/>
    <w:pPr>
      <w:spacing w:after="0" w:line="240" w:lineRule="auto"/>
    </w:pPr>
    <w:rPr>
      <w:sz w:val="20"/>
      <w:szCs w:val="20"/>
      <w:lang w:val="en-US"/>
    </w:rPr>
  </w:style>
  <w:style w:type="character" w:customStyle="1" w:styleId="FootnoteTextChar">
    <w:name w:val="Footnote Text Char"/>
    <w:basedOn w:val="DefaultParagraphFont"/>
    <w:link w:val="FootnoteText1"/>
    <w:uiPriority w:val="99"/>
    <w:semiHidden/>
    <w:rsid w:val="00881EA1"/>
    <w:rPr>
      <w:sz w:val="20"/>
      <w:szCs w:val="20"/>
    </w:rPr>
  </w:style>
  <w:style w:type="character" w:styleId="FootnoteReference">
    <w:name w:val="footnote reference"/>
    <w:basedOn w:val="DefaultParagraphFont"/>
    <w:uiPriority w:val="99"/>
    <w:semiHidden/>
    <w:unhideWhenUsed/>
    <w:rsid w:val="00881EA1"/>
    <w:rPr>
      <w:vertAlign w:val="superscript"/>
    </w:rPr>
  </w:style>
  <w:style w:type="character" w:styleId="Hyperlink">
    <w:name w:val="Hyperlink"/>
    <w:basedOn w:val="DefaultParagraphFont"/>
    <w:uiPriority w:val="99"/>
    <w:semiHidden/>
    <w:unhideWhenUsed/>
    <w:rsid w:val="00881EA1"/>
    <w:rPr>
      <w:color w:val="0000FF" w:themeColor="hyperlink"/>
      <w:u w:val="single"/>
    </w:rPr>
  </w:style>
  <w:style w:type="paragraph" w:styleId="FootnoteText">
    <w:name w:val="footnote text"/>
    <w:basedOn w:val="Normal"/>
    <w:link w:val="FootnoteTextChar1"/>
    <w:uiPriority w:val="99"/>
    <w:semiHidden/>
    <w:unhideWhenUsed/>
    <w:rsid w:val="00881EA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81EA1"/>
    <w:rPr>
      <w:sz w:val="20"/>
      <w:szCs w:val="20"/>
      <w:lang w:val="en-GB"/>
    </w:rPr>
  </w:style>
  <w:style w:type="paragraph" w:styleId="Header">
    <w:name w:val="header"/>
    <w:basedOn w:val="Normal"/>
    <w:link w:val="HeaderChar"/>
    <w:uiPriority w:val="99"/>
    <w:unhideWhenUsed/>
    <w:rsid w:val="00881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EA1"/>
    <w:rPr>
      <w:lang w:val="en-GB"/>
    </w:rPr>
  </w:style>
  <w:style w:type="paragraph" w:styleId="Footer">
    <w:name w:val="footer"/>
    <w:basedOn w:val="Normal"/>
    <w:link w:val="FooterChar"/>
    <w:uiPriority w:val="99"/>
    <w:unhideWhenUsed/>
    <w:rsid w:val="00881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EA1"/>
    <w:rPr>
      <w:lang w:val="en-GB"/>
    </w:rPr>
  </w:style>
  <w:style w:type="paragraph" w:styleId="BalloonText">
    <w:name w:val="Balloon Text"/>
    <w:basedOn w:val="Normal"/>
    <w:link w:val="BalloonTextChar"/>
    <w:uiPriority w:val="99"/>
    <w:semiHidden/>
    <w:unhideWhenUsed/>
    <w:rsid w:val="00881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EA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881EA1"/>
    <w:rPr>
      <w:color w:val="0000FF"/>
      <w:u w:val="single"/>
    </w:rPr>
  </w:style>
  <w:style w:type="paragraph" w:customStyle="1" w:styleId="FootnoteText1">
    <w:name w:val="Footnote Text1"/>
    <w:basedOn w:val="Normal"/>
    <w:next w:val="FootnoteText"/>
    <w:link w:val="FootnoteTextChar"/>
    <w:uiPriority w:val="99"/>
    <w:semiHidden/>
    <w:unhideWhenUsed/>
    <w:rsid w:val="00881EA1"/>
    <w:pPr>
      <w:spacing w:after="0" w:line="240" w:lineRule="auto"/>
    </w:pPr>
    <w:rPr>
      <w:sz w:val="20"/>
      <w:szCs w:val="20"/>
      <w:lang w:val="en-US"/>
    </w:rPr>
  </w:style>
  <w:style w:type="character" w:customStyle="1" w:styleId="FootnoteTextChar">
    <w:name w:val="Footnote Text Char"/>
    <w:basedOn w:val="DefaultParagraphFont"/>
    <w:link w:val="FootnoteText1"/>
    <w:uiPriority w:val="99"/>
    <w:semiHidden/>
    <w:rsid w:val="00881EA1"/>
    <w:rPr>
      <w:sz w:val="20"/>
      <w:szCs w:val="20"/>
    </w:rPr>
  </w:style>
  <w:style w:type="character" w:styleId="FootnoteReference">
    <w:name w:val="footnote reference"/>
    <w:basedOn w:val="DefaultParagraphFont"/>
    <w:uiPriority w:val="99"/>
    <w:semiHidden/>
    <w:unhideWhenUsed/>
    <w:rsid w:val="00881EA1"/>
    <w:rPr>
      <w:vertAlign w:val="superscript"/>
    </w:rPr>
  </w:style>
  <w:style w:type="character" w:styleId="Hyperlink">
    <w:name w:val="Hyperlink"/>
    <w:basedOn w:val="DefaultParagraphFont"/>
    <w:uiPriority w:val="99"/>
    <w:semiHidden/>
    <w:unhideWhenUsed/>
    <w:rsid w:val="00881EA1"/>
    <w:rPr>
      <w:color w:val="0000FF" w:themeColor="hyperlink"/>
      <w:u w:val="single"/>
    </w:rPr>
  </w:style>
  <w:style w:type="paragraph" w:styleId="FootnoteText">
    <w:name w:val="footnote text"/>
    <w:basedOn w:val="Normal"/>
    <w:link w:val="FootnoteTextChar1"/>
    <w:uiPriority w:val="99"/>
    <w:semiHidden/>
    <w:unhideWhenUsed/>
    <w:rsid w:val="00881EA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81EA1"/>
    <w:rPr>
      <w:sz w:val="20"/>
      <w:szCs w:val="20"/>
      <w:lang w:val="en-GB"/>
    </w:rPr>
  </w:style>
  <w:style w:type="paragraph" w:styleId="Header">
    <w:name w:val="header"/>
    <w:basedOn w:val="Normal"/>
    <w:link w:val="HeaderChar"/>
    <w:uiPriority w:val="99"/>
    <w:unhideWhenUsed/>
    <w:rsid w:val="00881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EA1"/>
    <w:rPr>
      <w:lang w:val="en-GB"/>
    </w:rPr>
  </w:style>
  <w:style w:type="paragraph" w:styleId="Footer">
    <w:name w:val="footer"/>
    <w:basedOn w:val="Normal"/>
    <w:link w:val="FooterChar"/>
    <w:uiPriority w:val="99"/>
    <w:unhideWhenUsed/>
    <w:rsid w:val="00881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EA1"/>
    <w:rPr>
      <w:lang w:val="en-GB"/>
    </w:rPr>
  </w:style>
  <w:style w:type="paragraph" w:styleId="BalloonText">
    <w:name w:val="Balloon Text"/>
    <w:basedOn w:val="Normal"/>
    <w:link w:val="BalloonTextChar"/>
    <w:uiPriority w:val="99"/>
    <w:semiHidden/>
    <w:unhideWhenUsed/>
    <w:rsid w:val="00881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EA1"/>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Olesea</dc:creator>
  <cp:lastModifiedBy>Maria</cp:lastModifiedBy>
  <cp:revision>2</cp:revision>
  <dcterms:created xsi:type="dcterms:W3CDTF">2016-06-30T12:44:00Z</dcterms:created>
  <dcterms:modified xsi:type="dcterms:W3CDTF">2016-06-30T12:44:00Z</dcterms:modified>
</cp:coreProperties>
</file>